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commentsExtensible.xml" ContentType="application/vnd.openxmlformats-officedocument.wordprocessingml.commentsExtensi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72"/>
          <w:szCs w:val="72"/>
        </w:rPr>
      </w:pPr>
      <w:r>
        <w:rPr>
          <w:b/>
          <w:sz w:val="72"/>
          <w:szCs w:val="72"/>
          <w:rtl w:val="0"/>
        </w:rPr>
        <w:t xml:space="preserve">FICHE ACTION VNE N°1</w:t>
      </w:r>
      <w:r>
        <w:rPr>
          <w:b/>
          <w:sz w:val="72"/>
          <w:szCs w:val="72"/>
        </w:rPr>
      </w:r>
      <w:r>
        <w:rPr>
          <w:b/>
          <w:sz w:val="72"/>
          <w:szCs w:val="72"/>
        </w:rPr>
      </w:r>
    </w:p>
    <w:p>
      <w:pPr>
        <w:pBdr/>
        <w:spacing/>
        <w:ind/>
        <w:jc w:val="center"/>
        <w:rPr>
          <w:b/>
          <w:sz w:val="2"/>
          <w:szCs w:val="2"/>
        </w:rPr>
      </w:pPr>
      <w:r>
        <w:rPr>
          <w:rtl w:val="0"/>
        </w:rPr>
      </w:r>
      <w:r>
        <w:rPr>
          <w:b/>
          <w:sz w:val="2"/>
          <w:szCs w:val="2"/>
        </w:rPr>
      </w:r>
      <w:r>
        <w:rPr>
          <w:b/>
          <w:sz w:val="2"/>
          <w:szCs w:val="2"/>
        </w:rPr>
      </w:r>
    </w:p>
    <w:tbl>
      <w:tblPr>
        <w:tblStyle w:val="921"/>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22140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10"/>
                              <a:srcRect l="0" t="0" r="0" b="0"/>
                              <a:stretch/>
                            </pic:blipFill>
                            <pic:spPr bwMode="auto">
                              <a:xfrm>
                                <a:off x="0" y="0"/>
                                <a:ext cx="540000" cy="2214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17.43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540000"/>
                      <wp:effectExtent l="0" t="0" r="0" b="0"/>
                      <wp:docPr id="2" name="image2.jpg"/>
                      <wp:cNvGraphicFramePr/>
                      <a:graphic xmlns:a="http://schemas.openxmlformats.org/drawingml/2006/main">
                        <a:graphicData uri="http://schemas.openxmlformats.org/drawingml/2006/picture">
                          <pic:pic xmlns:pic="http://schemas.openxmlformats.org/drawingml/2006/picture">
                            <pic:nvPicPr>
                              <pic:cNvPr id="0" name="image2.jpg"/>
                              <pic:cNvPicPr/>
                              <pic:nvPr/>
                            </pic:nvPicPr>
                            <pic:blipFill>
                              <a:blip r:embed="rId11"/>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2.52pt;height:42.52pt;mso-wrap-distance-left:0.00pt;mso-wrap-distance-top:0.00pt;mso-wrap-distance-right:0.00pt;mso-wrap-distance-bottom:0.00pt;z-index:1;">
                      <v:imagedata r:id="rId11"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tc>
      </w:tr>
      <w:tr>
        <w:trPr>
          <w:cantSplit w:val="false"/>
          <w:trHeight w:val="510"/>
        </w:trPr>
        <w:tc>
          <w:tcPr>
            <w:shd w:val="clear" w:color="auto" w:fill="b6d7a8"/>
            <w:tcBorders/>
            <w:vAlign w:val="center"/>
            <w:textDirection w:val="lrTb"/>
            <w:noWrap w:val="false"/>
          </w:tcPr>
          <w:p>
            <w:pPr>
              <w:pBdr/>
              <w:spacing w:after="0" w:before="0" w:line="240" w:lineRule="auto"/>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after="0" w:before="0" w:line="240" w:lineRule="auto"/>
              <w:ind/>
              <w:rPr>
                <w:b/>
              </w:rPr>
            </w:pPr>
            <w:r>
              <w:rPr>
                <w:b/>
                <w:rtl w:val="0"/>
              </w:rPr>
              <w:t xml:space="preserve">Validée par CD83/DASP</w:t>
            </w:r>
            <w:r>
              <w:rPr>
                <w:b/>
              </w:rPr>
            </w:r>
            <w:r>
              <w:rPr>
                <w:b/>
              </w:rP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b/>
              </w:rPr>
            </w:pPr>
            <w:r>
              <w:rPr>
                <w:b/>
                <w:rtl w:val="0"/>
              </w:rPr>
              <w:t xml:space="preserve">Inscrire </w:t>
            </w:r>
            <w:r>
              <w:rPr>
                <w:b/>
                <w:rtl w:val="0"/>
              </w:rPr>
              <w:t xml:space="preserve">sur Soliguide l’ensemble des acteurs de l’inclusion numérique et le faire savoir aux</w:t>
            </w:r>
            <w:r>
              <w:rPr>
                <w:b/>
                <w:rtl w:val="0"/>
              </w:rPr>
              <w:t xml:space="preserve"> autres professionnels</w:t>
            </w:r>
            <w:r>
              <w:rPr>
                <w:b/>
              </w:rPr>
            </w:r>
            <w:r>
              <w:rPr>
                <w:b/>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EPCI ; subsidiarité CD83 (DASP) : mise en place et gestion des GT</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firstLine="0" w:left="0"/>
              <w:rPr>
                <w:sz w:val="24"/>
                <w:szCs w:val="24"/>
              </w:rPr>
            </w:pPr>
            <w:r>
              <w:rPr>
                <w:sz w:val="24"/>
                <w:szCs w:val="24"/>
                <w:rtl w:val="0"/>
              </w:rPr>
              <w:t xml:space="preserve">Solinum : prestataire</w:t>
            </w:r>
            <w:r>
              <w:rPr>
                <w:sz w:val="24"/>
                <w:szCs w:val="24"/>
              </w:rPr>
            </w:r>
            <w:r>
              <w:rPr>
                <w:sz w:val="24"/>
                <w:szCs w:val="24"/>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vAlign w:val="center"/>
            <w:textDirection w:val="lrTb"/>
            <w:noWrap w:val="false"/>
          </w:tcPr>
          <w:p>
            <w:pPr>
              <w:pBdr/>
              <w:spacing/>
              <w:ind/>
              <w:rPr>
                <w:sz w:val="24"/>
                <w:szCs w:val="24"/>
              </w:rPr>
            </w:pPr>
            <w:r>
              <w:rPr>
                <w:rtl w:val="0"/>
              </w:rPr>
              <w:t xml:space="preserve">Acteurs de l’inclusion numérique : associations, mairies, CCAS, CoNum, médiathèques, </w:t>
            </w:r>
            <w:r>
              <w:rPr>
                <w:sz w:val="24"/>
                <w:szCs w:val="24"/>
              </w:rPr>
            </w:r>
            <w:r>
              <w:rPr>
                <w:sz w:val="24"/>
                <w:szCs w:val="24"/>
              </w:rP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7"/>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799"/>
        </w:trPr>
        <w:tc>
          <w:tcPr>
            <w:shd w:val="clear" w:color="auto" w:fill="auto"/>
            <w:tcBorders/>
            <w:vAlign w:val="center"/>
            <w:vMerge w:val="restart"/>
            <w:textDirection w:val="lrTb"/>
            <w:noWrap w:val="false"/>
          </w:tcPr>
          <w:p>
            <w:pPr>
              <w:pBdr/>
              <w:spacing/>
              <w:ind/>
              <w:rPr>
                <w:b/>
                <w:sz w:val="24"/>
                <w:szCs w:val="24"/>
              </w:rPr>
            </w:pPr>
            <w:r>
              <w:rPr>
                <w:rtl w:val="0"/>
              </w:rPr>
            </w:r>
            <w:r>
              <w:rPr>
                <w:b/>
                <w:sz w:val="24"/>
                <w:szCs w:val="24"/>
              </w:rPr>
            </w:r>
            <w:r>
              <w:rPr>
                <w:b/>
                <w:sz w:val="24"/>
                <w:szCs w:val="24"/>
              </w:rPr>
            </w:r>
          </w:p>
          <w:p>
            <w:pPr>
              <w:pBdr/>
              <w:spacing/>
              <w:ind/>
              <w:rPr>
                <w:b/>
                <w:sz w:val="24"/>
                <w:szCs w:val="24"/>
              </w:rPr>
            </w:pPr>
            <w:r>
              <w:rPr>
                <w:b/>
                <w:sz w:val="24"/>
                <w:szCs w:val="24"/>
                <w:rtl w:val="0"/>
              </w:rPr>
              <w:t xml:space="preserve">DIAGNOSTIC</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SCORE QUESTIONNAIRE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58 (somme fiche action 1a et 1b) ; Top 10</w:t>
            </w:r>
            <w:r/>
          </w:p>
        </w:tc>
      </w:tr>
      <w:tr>
        <w:trPr>
          <w:cantSplit w:val="false"/>
          <w:trHeight w:val="1043"/>
        </w:trPr>
        <w:tc>
          <w:tcPr>
            <w:shd w:val="clear" w:color="auto" w:fill="auto"/>
            <w:tcBorders/>
            <w:vAlign w:val="center"/>
            <w:vMerge w:val="continue"/>
            <w:textDirection w:val="lrTb"/>
            <w:noWrap w:val="false"/>
          </w:tcPr>
          <w:p>
            <w:pPr>
              <w:pBdr/>
              <w:spacing w:after="0" w:before="0" w:line="240" w:lineRule="auto"/>
              <w:ind w:firstLine="0" w:left="0"/>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La multiplicité des offres et la diversité des canaux de communication rendent difficile l’interconnaissance et l’orientation des usagers.  Disp</w:t>
            </w:r>
            <w:r>
              <w:rPr>
                <w:rtl w:val="0"/>
              </w:rPr>
              <w:t xml:space="preserve">oser d’un seul outil agrégeant les données de toutes les structures proposant de l’inclusion (dont numérique) faciliterait la collaboration entre les acteurs de l’inclusion numérique d’une part, et les acteurs avec qui ils sont susceptibles de s’articuler.</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numPr>
                <w:ilvl w:val="0"/>
                <w:numId w:val="5"/>
              </w:numPr>
              <w:pBdr/>
              <w:spacing w:after="0" w:before="0" w:line="240" w:lineRule="auto"/>
              <w:ind w:hanging="141" w:left="283"/>
              <w:jc w:val="left"/>
              <w:rPr>
                <w:u w:val="none"/>
              </w:rPr>
            </w:pPr>
            <w:r>
              <w:rPr>
                <w:rtl w:val="0"/>
              </w:rPr>
              <w:t xml:space="preserve">Favoriser l’interconnaissance des acteurs</w:t>
            </w:r>
            <w:r>
              <w:rPr>
                <w:u w:val="none"/>
              </w:rPr>
            </w:r>
            <w:r>
              <w:rPr>
                <w:u w:val="none"/>
              </w:rPr>
            </w:r>
          </w:p>
          <w:p>
            <w:pPr>
              <w:numPr>
                <w:ilvl w:val="0"/>
                <w:numId w:val="5"/>
              </w:numPr>
              <w:pBdr/>
              <w:spacing w:after="0" w:before="0" w:line="240" w:lineRule="auto"/>
              <w:ind w:hanging="141" w:left="283"/>
              <w:jc w:val="left"/>
              <w:rPr>
                <w:u w:val="none"/>
              </w:rPr>
            </w:pPr>
            <w:r>
              <w:rPr>
                <w:rtl w:val="0"/>
              </w:rPr>
              <w:t xml:space="preserve">Faciliter les contacts entre professionnels</w:t>
            </w:r>
            <w:r>
              <w:rPr>
                <w:u w:val="none"/>
              </w:rPr>
            </w:r>
            <w:r>
              <w:rPr>
                <w:u w:val="none"/>
              </w:rPr>
            </w:r>
          </w:p>
          <w:p>
            <w:pPr>
              <w:numPr>
                <w:ilvl w:val="0"/>
                <w:numId w:val="5"/>
              </w:numPr>
              <w:pBdr/>
              <w:spacing w:after="0" w:before="0" w:line="240" w:lineRule="auto"/>
              <w:ind w:hanging="141" w:left="283"/>
              <w:jc w:val="left"/>
              <w:rPr>
                <w:u w:val="none"/>
              </w:rPr>
            </w:pPr>
            <w:r>
              <w:rPr>
                <w:rtl w:val="0"/>
              </w:rPr>
              <w:t xml:space="preserve">Faciliter la recherche de lieux d’inclusion numérique par et pour les usagers</w:t>
            </w:r>
            <w:r>
              <w:rPr>
                <w:u w:val="none"/>
              </w:rPr>
            </w:r>
            <w:r>
              <w:rPr>
                <w:u w:val="none"/>
              </w:rPr>
            </w:r>
          </w:p>
          <w:p>
            <w:pPr>
              <w:numPr>
                <w:ilvl w:val="0"/>
                <w:numId w:val="5"/>
              </w:numPr>
              <w:pBdr/>
              <w:spacing w:after="0" w:before="0" w:line="240" w:lineRule="auto"/>
              <w:ind w:hanging="141" w:left="283"/>
              <w:jc w:val="left"/>
              <w:rPr>
                <w:u w:val="none"/>
              </w:rPr>
            </w:pPr>
            <w:r>
              <w:rPr>
                <w:rtl w:val="0"/>
              </w:rPr>
              <w:t xml:space="preserve">Faciliter le travail de communication des professionnels</w:t>
            </w:r>
            <w:r>
              <w:rPr>
                <w:u w:val="none"/>
              </w:rPr>
            </w:r>
            <w:r>
              <w:rPr>
                <w:u w:val="none"/>
              </w:rPr>
            </w:r>
          </w:p>
          <w:p>
            <w:pPr>
              <w:numPr>
                <w:ilvl w:val="0"/>
                <w:numId w:val="5"/>
              </w:numPr>
              <w:pBdr/>
              <w:spacing w:after="0" w:before="0" w:line="240" w:lineRule="auto"/>
              <w:ind w:hanging="141" w:left="283"/>
              <w:jc w:val="left"/>
              <w:rPr>
                <w:u w:val="none"/>
              </w:rPr>
            </w:pPr>
            <w:r>
              <w:rPr>
                <w:rtl w:val="0"/>
              </w:rPr>
              <w:t xml:space="preserve">Disposer d’une base de données fiable</w:t>
            </w:r>
            <w:r>
              <w:rPr>
                <w:u w:val="none"/>
              </w:rPr>
            </w:r>
            <w:r>
              <w:rPr>
                <w:u w:val="none"/>
              </w:rPr>
            </w:r>
          </w:p>
          <w:p>
            <w:pPr>
              <w:numPr>
                <w:ilvl w:val="0"/>
                <w:numId w:val="5"/>
              </w:numPr>
              <w:pBdr/>
              <w:spacing w:after="0" w:before="0" w:line="240" w:lineRule="auto"/>
              <w:ind w:hanging="141" w:left="283"/>
              <w:jc w:val="left"/>
              <w:rPr>
                <w:u w:val="none"/>
              </w:rPr>
            </w:pPr>
            <w:r>
              <w:rPr>
                <w:rtl w:val="0"/>
              </w:rPr>
              <w:t xml:space="preserve">Assurer une harmonie des fiches structures</w:t>
            </w:r>
            <w:r>
              <w:rPr>
                <w:u w:val="none"/>
              </w:rPr>
            </w:r>
            <w:r>
              <w:rPr>
                <w:u w:val="none"/>
              </w:rPr>
            </w:r>
          </w:p>
        </w:tc>
      </w:tr>
      <w:tr>
        <w:trPr>
          <w:cantSplit w:val="false"/>
          <w:trHeight w:val="912"/>
        </w:trPr>
        <w:tc>
          <w:tcPr>
            <w:shd w:val="clear" w:color="auto" w:fill="auto"/>
            <w:tcBorders/>
            <w:vAlign w:val="center"/>
            <w:vMerge w:val="restart"/>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firstLine="0" w:left="141"/>
              <w:jc w:val="left"/>
              <w:rPr/>
            </w:pPr>
            <w:r>
              <w:rPr>
                <w:rtl w:val="0"/>
              </w:rPr>
              <w:t xml:space="preserve">10 - Labelliser les lieux d'accueil des publics déployant des pratiques et des compétences à destination des publics éloignés du numérique</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firstLine="0" w:left="141"/>
              <w:jc w:val="left"/>
              <w:rPr/>
            </w:pPr>
            <w:r>
              <w:rPr>
                <w:rtl w:val="0"/>
              </w:rPr>
              <w:t xml:space="preserve">Proposition n° 26 : Regrouper sous une bannière unique toutes les offres publiques de médiation numérique, certifiées et cartographiées par APTIC et les Hubs France Connectée.</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firstLine="0" w:left="141"/>
              <w:jc w:val="left"/>
              <w:rPr/>
            </w:pPr>
            <w:r>
              <w:rPr>
                <w:rtl w:val="0"/>
              </w:rPr>
              <w:t xml:space="preserve">Proposition n° 11 : Généraliser la réalisation de cartographies locales de l'exclusion numérique et des acteurs de l'inclusion numérique sur l'ensemble du territoire, avec l'appui de la MedNum et des Hubs si nécessaire.</w:t>
            </w:r>
            <w:r/>
          </w:p>
        </w:tc>
      </w:tr>
      <w:tr>
        <w:trPr>
          <w:cantSplit w:val="false"/>
          <w:trHeight w:val="836"/>
        </w:trPr>
        <w:tc>
          <w:tcPr>
            <w:shd w:val="clear" w:color="auto" w:fill="auto"/>
            <w:tcBorders/>
            <w:vAlign w:val="center"/>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8"/>
              </w:numPr>
              <w:pBdr/>
              <w:spacing/>
              <w:ind w:hanging="360" w:left="720"/>
              <w:rPr/>
            </w:pPr>
            <w:r>
              <w:rPr>
                <w:rtl w:val="0"/>
              </w:rPr>
              <w:t xml:space="preserve">Faire connaître Soliguide aux acteurs de l’inclusion numérique (et de l’accès aux droits)</w:t>
            </w:r>
            <w:r/>
          </w:p>
          <w:p>
            <w:pPr>
              <w:numPr>
                <w:ilvl w:val="1"/>
                <w:numId w:val="8"/>
              </w:numPr>
              <w:pBdr/>
              <w:spacing/>
              <w:ind w:hanging="360" w:left="1440"/>
              <w:rPr/>
            </w:pPr>
            <w:r>
              <w:rPr>
                <w:rtl w:val="0"/>
              </w:rPr>
              <w:t xml:space="preserve">Organiser des rencontres sur les territoires avec les acteurs </w:t>
            </w:r>
            <w:r>
              <w:rPr>
                <w:rtl w:val="0"/>
              </w:rPr>
            </w:r>
            <w:r/>
          </w:p>
          <w:p>
            <w:pPr>
              <w:numPr>
                <w:ilvl w:val="1"/>
                <w:numId w:val="8"/>
              </w:numPr>
              <w:pBdr/>
              <w:spacing/>
              <w:ind w:hanging="360" w:left="1440"/>
              <w:rPr/>
            </w:pPr>
            <w:r>
              <w:rPr>
                <w:rtl w:val="0"/>
              </w:rPr>
              <w:t xml:space="preserve">Systématiser l’inscription</w:t>
            </w:r>
            <w:r>
              <w:rPr>
                <w:rtl w:val="0"/>
              </w:rPr>
              <w:t xml:space="preserve"> des acteurs du Numérique sur Soliguide</w:t>
            </w:r>
            <w:r>
              <w:rPr>
                <w:rtl w:val="0"/>
              </w:rPr>
            </w:r>
            <w:r/>
          </w:p>
          <w:p>
            <w:pPr>
              <w:numPr>
                <w:ilvl w:val="0"/>
                <w:numId w:val="8"/>
              </w:numPr>
              <w:pBdr/>
              <w:spacing/>
              <w:ind w:hanging="360" w:left="720"/>
              <w:rPr/>
            </w:pPr>
            <w:r>
              <w:rPr>
                <w:rtl w:val="0"/>
              </w:rPr>
              <w:t xml:space="preserve">Définir clairement les mentions obligatoires en fonction des services proposés pour assurer la pertinence des résultats de recherche</w:t>
            </w:r>
            <w:r>
              <w:rPr>
                <w:rtl w:val="0"/>
              </w:rPr>
              <w:t xml:space="preserve"> : </w:t>
            </w:r>
            <w:r/>
          </w:p>
          <w:p>
            <w:pPr>
              <w:numPr>
                <w:ilvl w:val="1"/>
                <w:numId w:val="8"/>
              </w:numPr>
              <w:pBdr/>
              <w:spacing/>
              <w:ind w:hanging="360" w:left="1440"/>
              <w:rPr>
                <w:u w:val="none"/>
              </w:rPr>
            </w:pPr>
            <w:r>
              <w:rPr>
                <w:rtl w:val="0"/>
              </w:rPr>
              <w:t xml:space="preserve">atelier numérique :</w:t>
            </w:r>
            <w:r>
              <w:rPr>
                <w:u w:val="none"/>
              </w:rPr>
            </w:r>
            <w:r>
              <w:rPr>
                <w:u w:val="none"/>
              </w:rPr>
            </w:r>
          </w:p>
          <w:p>
            <w:pPr>
              <w:numPr>
                <w:ilvl w:val="2"/>
                <w:numId w:val="8"/>
              </w:numPr>
              <w:pBdr/>
              <w:spacing/>
              <w:ind w:hanging="360" w:left="2160"/>
              <w:rPr>
                <w:u w:val="none"/>
              </w:rPr>
            </w:pPr>
            <w:r>
              <w:rPr>
                <w:rtl w:val="0"/>
              </w:rPr>
              <w:t xml:space="preserve">Simple si RAS</w:t>
            </w:r>
            <w:r>
              <w:rPr>
                <w:u w:val="none"/>
              </w:rPr>
            </w:r>
            <w:r>
              <w:rPr>
                <w:u w:val="none"/>
              </w:rPr>
            </w:r>
          </w:p>
          <w:p>
            <w:pPr>
              <w:numPr>
                <w:ilvl w:val="2"/>
                <w:numId w:val="8"/>
              </w:numPr>
              <w:pBdr/>
              <w:spacing/>
              <w:ind w:hanging="360" w:left="2160"/>
              <w:rPr>
                <w:u w:val="none"/>
              </w:rPr>
            </w:pPr>
            <w:r>
              <w:rPr>
                <w:rtl w:val="0"/>
              </w:rPr>
              <w:t xml:space="preserve">“Emploi/Formation” si pertinent dans l’emploi (suite Office par exemple)</w:t>
            </w:r>
            <w:r>
              <w:rPr>
                <w:u w:val="none"/>
              </w:rPr>
            </w:r>
            <w:r>
              <w:rPr>
                <w:u w:val="none"/>
              </w:rPr>
            </w:r>
          </w:p>
          <w:p>
            <w:pPr>
              <w:numPr>
                <w:ilvl w:val="1"/>
                <w:numId w:val="8"/>
              </w:numPr>
              <w:pBdr/>
              <w:spacing/>
              <w:ind w:hanging="360" w:left="1440"/>
              <w:rPr>
                <w:u w:val="none"/>
              </w:rPr>
            </w:pPr>
            <w:r>
              <w:rPr>
                <w:rtl w:val="0"/>
              </w:rPr>
              <w:t xml:space="preserve">technologie : tout ce qui relève de la mise à disposition de matériel</w:t>
            </w:r>
            <w:r>
              <w:rPr>
                <w:u w:val="none"/>
              </w:rPr>
            </w:r>
            <w:r>
              <w:rPr>
                <w:u w:val="none"/>
              </w:rPr>
            </w:r>
          </w:p>
          <w:p>
            <w:pPr>
              <w:numPr>
                <w:ilvl w:val="1"/>
                <w:numId w:val="8"/>
              </w:numPr>
              <w:pBdr/>
              <w:spacing/>
              <w:ind w:hanging="360" w:left="1440"/>
              <w:rPr>
                <w:u w:val="none"/>
              </w:rPr>
            </w:pPr>
            <w:r>
              <w:rPr>
                <w:rtl w:val="0"/>
              </w:rPr>
              <w:t xml:space="preserve">conseil administratif : </w:t>
            </w:r>
            <w:r>
              <w:rPr>
                <w:rtl w:val="0"/>
              </w:rPr>
              <w:t xml:space="preserve">inscrire</w:t>
            </w:r>
            <w:r>
              <w:rPr>
                <w:rtl w:val="0"/>
              </w:rPr>
              <w:t xml:space="preserve"> les démarches numériques accompagnées ou non en ligne</w:t>
            </w:r>
            <w:r>
              <w:rPr>
                <w:u w:val="none"/>
              </w:rPr>
            </w:r>
            <w:r>
              <w:rPr>
                <w:u w:val="none"/>
              </w:rPr>
            </w:r>
          </w:p>
          <w:p>
            <w:pPr>
              <w:numPr>
                <w:ilvl w:val="1"/>
                <w:numId w:val="8"/>
              </w:numPr>
              <w:pBdr/>
              <w:spacing/>
              <w:ind w:hanging="360" w:left="1440"/>
              <w:rPr>
                <w:u w:val="none"/>
              </w:rPr>
            </w:pPr>
            <w:r>
              <w:rPr>
                <w:rtl w:val="0"/>
              </w:rPr>
              <w:t xml:space="preserve">S’assurer que les termes utilisés soient bien les mêmes (s’appuyer sur le glossaire)</w:t>
            </w:r>
            <w:r>
              <w:rPr>
                <w:u w:val="none"/>
              </w:rPr>
            </w:r>
            <w:r>
              <w:rPr>
                <w:u w:val="none"/>
              </w:rPr>
            </w:r>
          </w:p>
          <w:p>
            <w:pPr>
              <w:numPr>
                <w:ilvl w:val="0"/>
                <w:numId w:val="8"/>
              </w:numPr>
              <w:pBdr/>
              <w:spacing/>
              <w:ind w:hanging="360" w:left="720"/>
              <w:rPr/>
            </w:pPr>
            <w:r>
              <w:rPr>
                <w:rtl w:val="0"/>
              </w:rPr>
              <w:t xml:space="preserve">Vérifier que les “ateliers numériques” référencés sur Soliguide soient régulièrement mis à jour (MAJ semestrielle = seuil minimum)</w:t>
            </w:r>
            <w:r>
              <w:rPr>
                <w:rtl w:val="0"/>
              </w:rPr>
            </w:r>
            <w:commentRangeStart w:id="0"/>
            <w:commentRangeStart w:id="1"/>
            <w:r/>
            <w:commentRangeEnd w:id="0"/>
            <w:commentRangeEnd w:id="1"/>
            <w:r>
              <w:commentReference w:id="0"/>
              <w:commentReference w:id="1"/>
            </w:r>
            <w:r/>
            <w:r/>
          </w:p>
          <w:p>
            <w:pPr>
              <w:numPr>
                <w:ilvl w:val="0"/>
                <w:numId w:val="8"/>
              </w:numPr>
              <w:pBdr/>
              <w:spacing w:after="0" w:before="0" w:line="240" w:lineRule="auto"/>
              <w:ind w:hanging="360" w:left="720"/>
              <w:jc w:val="left"/>
              <w:rPr>
                <w:u w:val="none"/>
              </w:rPr>
            </w:pPr>
            <w:r>
              <w:rPr>
                <w:rtl w:val="0"/>
              </w:rPr>
              <w:t xml:space="preserve"> </w:t>
            </w:r>
            <w:r>
              <w:rPr>
                <w:rtl w:val="0"/>
              </w:rPr>
              <w:t xml:space="preserve">Mesurer l’impact de cette action</w:t>
            </w:r>
            <w:r>
              <w:rPr>
                <w:u w:val="none"/>
              </w:rPr>
            </w:r>
            <w:r>
              <w:rPr>
                <w:u w:val="none"/>
              </w:rPr>
            </w:r>
          </w:p>
        </w:tc>
      </w:tr>
      <w:tr>
        <w:trPr>
          <w:cantSplit w:val="false"/>
          <w:trHeight w:val="2353"/>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0"/>
              </w:tabs>
              <w:spacing w:after="0" w:before="0" w:line="276" w:lineRule="auto"/>
              <w:ind w:right="0" w:firstLine="0" w:left="0"/>
              <w:jc w:val="left"/>
              <w:rPr/>
            </w:pPr>
            <w:r>
              <w:rPr>
                <w:rtl w:val="0"/>
              </w:rPr>
              <w:t xml:space="preserve">Dans la continuité des actions départementales de cartographie de l’inclusion, Soliguide sera le support de référencement de l’inclusion numérique. </w:t>
            </w:r>
            <w:r/>
          </w:p>
          <w:p>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0"/>
              </w:tabs>
              <w:spacing w:after="0" w:before="0" w:line="276" w:lineRule="auto"/>
              <w:ind w:right="0" w:firstLine="0" w:left="0"/>
              <w:jc w:val="left"/>
              <w:rPr/>
            </w:pPr>
            <w:r>
              <w:rPr>
                <w:rtl w:val="0"/>
              </w:rPr>
              <w:t xml:space="preserve">Ainsi, cette action doit faire de S</w:t>
            </w:r>
            <w:r>
              <w:rPr>
                <w:rtl w:val="0"/>
              </w:rPr>
              <w:t xml:space="preserve">oliguide l’annuaire et l’outil cartographique de l’inclusion numérique dans le Var pour centraliser les efforts de communication de chacun dans une optique de “dites le nous une fois”, faciliter l’interconnaissance des acteurs et l’orientation des usagers.</w:t>
            </w:r>
            <w:r/>
          </w:p>
          <w:p>
            <w:pPr>
              <w:pBdr/>
              <w:tabs>
                <w:tab w:val="left" w:leader="none" w:pos="0"/>
              </w:tabs>
              <w:spacing w:line="276" w:lineRule="auto"/>
              <w:ind/>
              <w:rPr/>
            </w:pPr>
            <w:r>
              <w:rPr>
                <w:rtl w:val="0"/>
              </w:rPr>
            </w:r>
            <w:r/>
          </w:p>
          <w:p>
            <w:pPr>
              <w:pBdr/>
              <w:tabs>
                <w:tab w:val="left" w:leader="none" w:pos="0"/>
              </w:tabs>
              <w:spacing w:line="276" w:lineRule="auto"/>
              <w:ind/>
              <w:rPr/>
            </w:pPr>
            <w:r>
              <w:rPr>
                <w:rtl w:val="0"/>
              </w:rPr>
              <w:t xml:space="preserve">1/ Organiser le travail de saisie des données et l’harmoniser</w:t>
            </w:r>
            <w:r/>
          </w:p>
          <w:p>
            <w:pPr>
              <w:pBdr/>
              <w:tabs>
                <w:tab w:val="left" w:leader="none" w:pos="0"/>
              </w:tabs>
              <w:spacing w:line="276" w:lineRule="auto"/>
              <w:ind/>
              <w:rPr/>
            </w:pPr>
            <w:r>
              <w:rPr>
                <w:rtl w:val="0"/>
              </w:rPr>
              <w:t xml:space="preserve">Lla notion d’inclusion numérique n’étant pas clairement référencé sur SOLIGUIDE, il convient d’accompagner les structures dans la saisie des données autour de deux axes : </w:t>
            </w:r>
            <w:r/>
          </w:p>
          <w:p>
            <w:pPr>
              <w:numPr>
                <w:ilvl w:val="0"/>
                <w:numId w:val="6"/>
              </w:numPr>
              <w:pBdr/>
              <w:tabs>
                <w:tab w:val="left" w:leader="none" w:pos="0"/>
              </w:tabs>
              <w:spacing w:line="276" w:lineRule="auto"/>
              <w:ind w:hanging="360" w:left="720"/>
              <w:rPr/>
            </w:pPr>
            <w:r>
              <w:rPr>
                <w:rtl w:val="0"/>
              </w:rPr>
              <w:t xml:space="preserve">atelier numérique (emploi / formation) pour tout atelier numérique ;</w:t>
            </w:r>
            <w:r/>
          </w:p>
          <w:p>
            <w:pPr>
              <w:numPr>
                <w:ilvl w:val="0"/>
                <w:numId w:val="6"/>
              </w:numPr>
              <w:pBdr/>
              <w:tabs>
                <w:tab w:val="left" w:leader="none" w:pos="0"/>
              </w:tabs>
              <w:spacing w:line="276" w:lineRule="auto"/>
              <w:ind w:hanging="360" w:left="720"/>
              <w:rPr/>
            </w:pPr>
            <w:r>
              <w:rPr>
                <w:rtl w:val="0"/>
              </w:rPr>
              <w:t xml:space="preserve">technologie Ce travail de remplissage doit être clairement cadré afin de faciliter le travail de recherche pour les professionnels</w:t>
            </w:r>
            <w:r/>
          </w:p>
          <w:p>
            <w:pPr>
              <w:numPr>
                <w:ilvl w:val="0"/>
                <w:numId w:val="6"/>
              </w:numPr>
              <w:pBdr/>
              <w:tabs>
                <w:tab w:val="left" w:leader="none" w:pos="0"/>
              </w:tabs>
              <w:spacing/>
              <w:ind w:hanging="360" w:left="720"/>
              <w:rPr/>
            </w:pPr>
            <w:r>
              <w:rPr>
                <w:rtl w:val="0"/>
              </w:rPr>
              <w:t xml:space="preserve">conseil administratif : inscrire les démarches numériques accompagnées ou non en ligne</w:t>
            </w:r>
            <w:r/>
          </w:p>
          <w:p>
            <w:pPr>
              <w:pBdr/>
              <w:tabs>
                <w:tab w:val="left" w:leader="none" w:pos="0"/>
              </w:tabs>
              <w:spacing w:line="276" w:lineRule="auto"/>
              <w:ind/>
              <w:rPr/>
            </w:pPr>
            <w:r>
              <w:rPr>
                <w:rtl w:val="0"/>
              </w:rPr>
              <w:t xml:space="preserve">L’outil étant limité sur la question de l’inclusion numérique aujourd’hui, seule une harmonisation des fiches peut être atteinte, une granularité dans le niveau de recherche étant actuellement impossible.</w:t>
            </w:r>
            <w:r/>
          </w:p>
          <w:p>
            <w:pPr>
              <w:pBdr/>
              <w:tabs>
                <w:tab w:val="left" w:leader="none" w:pos="0"/>
              </w:tabs>
              <w:spacing w:line="276" w:lineRule="auto"/>
              <w:ind/>
              <w:rPr/>
            </w:pPr>
            <w:r>
              <w:rPr>
                <w:rtl w:val="0"/>
              </w:rPr>
            </w:r>
            <w:r/>
          </w:p>
          <w:p>
            <w:pPr>
              <w:pBdr/>
              <w:tabs>
                <w:tab w:val="left" w:leader="none" w:pos="0"/>
              </w:tabs>
              <w:spacing w:line="276" w:lineRule="auto"/>
              <w:ind/>
              <w:rPr/>
            </w:pPr>
            <w:r>
              <w:rPr>
                <w:rtl w:val="0"/>
              </w:rPr>
              <w:t xml:space="preserve">2/</w:t>
            </w:r>
            <w:r>
              <w:rPr>
                <w:rtl w:val="0"/>
              </w:rPr>
              <w:t xml:space="preserve">Organiser la publicité de la plateforme SOLIGUIDE auprès des acteurs de l’inclusion </w:t>
            </w:r>
            <w:r>
              <w:rPr>
                <w:rtl w:val="0"/>
              </w:rPr>
              <w:t xml:space="preserve">numérique via tous types de réunions thématiques sur les territoires. Ces temps de présentation sont aussi l’occasion de diffuser les fiches structures et de proposer une méthodologie de référencement selon les modalités proposées et validées avec SOLINUM.</w:t>
            </w:r>
            <w:r>
              <w:rPr>
                <w:rtl w:val="0"/>
              </w:rPr>
            </w:r>
            <w:r/>
          </w:p>
          <w:p>
            <w:pPr>
              <w:pBdr/>
              <w:tabs>
                <w:tab w:val="left" w:leader="none" w:pos="0"/>
              </w:tabs>
              <w:spacing w:line="276" w:lineRule="auto"/>
              <w:ind/>
              <w:rPr/>
            </w:pPr>
            <w:r>
              <w:rPr>
                <w:rtl w:val="0"/>
              </w:rPr>
            </w:r>
            <w:r/>
          </w:p>
          <w:p>
            <w:pPr>
              <w:pBdr/>
              <w:tabs>
                <w:tab w:val="left" w:leader="none" w:pos="0"/>
              </w:tabs>
              <w:spacing w:line="276" w:lineRule="auto"/>
              <w:ind/>
              <w:rPr/>
            </w:pPr>
            <w:r>
              <w:rPr>
                <w:rtl w:val="0"/>
              </w:rPr>
              <w:t xml:space="preserve">3/ Mise à jour semestrielle </w:t>
            </w:r>
            <w:r>
              <w:rPr>
                <w:rtl w:val="0"/>
              </w:rPr>
              <w:t xml:space="preserve">de SOLIGUIDE des acteurs de l’inclusion numérique : le partenariat avec SOLINUM prévoit une mise à jour deux fois par an de l’ensemble des structures et services inscrits sur la plateforme aux fins de vérifier l’actualité des actions proposées aux publics.</w:t>
            </w:r>
            <w:r/>
          </w:p>
          <w:p>
            <w:pPr>
              <w:pBdr/>
              <w:tabs>
                <w:tab w:val="left" w:leader="none" w:pos="0"/>
              </w:tabs>
              <w:spacing w:line="276" w:lineRule="auto"/>
              <w:ind/>
              <w:rPr/>
            </w:pPr>
            <w:r>
              <w:rPr>
                <w:i/>
                <w:rtl w:val="0"/>
              </w:rPr>
              <w:t xml:space="preserve">Un contrôle des fiches structure peut être fait, de manière aléatoire, pour s’assurer de la qualité des informations</w:t>
            </w:r>
            <w:r>
              <w:rPr>
                <w:rtl w:val="0"/>
              </w:rPr>
            </w:r>
            <w:r/>
          </w:p>
          <w:p>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0"/>
              </w:tabs>
              <w:spacing w:after="0" w:before="0" w:line="276" w:lineRule="auto"/>
              <w:ind w:right="0" w:firstLine="0" w:left="0"/>
              <w:jc w:val="left"/>
              <w:rPr/>
            </w:pPr>
            <w:r>
              <w:rPr>
                <w:rtl w:val="0"/>
              </w:rPr>
            </w:r>
            <w:r/>
          </w:p>
          <w:p>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0"/>
              </w:tabs>
              <w:spacing w:after="0" w:before="0" w:line="276" w:lineRule="auto"/>
              <w:ind w:right="0" w:firstLine="0" w:left="0"/>
              <w:jc w:val="left"/>
              <w:rPr/>
            </w:pPr>
            <w:r>
              <w:rPr>
                <w:rtl w:val="0"/>
              </w:rPr>
              <w:t xml:space="preserve">4/ Organiser la publicité de la plateforme Soliguide, et notamment le renseignement des fiches structure “inclusion numérique” auprès des acteurs s’articulant avec (modalité à définir)</w:t>
            </w:r>
            <w:r/>
          </w:p>
          <w:p>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0"/>
              </w:tabs>
              <w:spacing w:after="0" w:before="0" w:line="276" w:lineRule="auto"/>
              <w:ind w:right="0" w:firstLine="0" w:left="0"/>
              <w:jc w:val="left"/>
              <w:rPr/>
            </w:pPr>
            <w:r>
              <w:rPr>
                <w:rtl w:val="0"/>
              </w:rPr>
            </w:r>
            <w:r/>
          </w:p>
          <w:p>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0"/>
              </w:tabs>
              <w:spacing w:after="0" w:before="0" w:line="276" w:lineRule="auto"/>
              <w:ind w:right="0" w:firstLine="0" w:left="0"/>
              <w:jc w:val="left"/>
              <w:rPr/>
            </w:pPr>
            <w:r>
              <w:rPr>
                <w:rtl w:val="0"/>
              </w:rPr>
              <w:t xml:space="preserve">Un travail de mesure d’impact de ces rencontres devra être réalisé, dans un objectif de référencement complet d’ici le 24/06/2026</w:t>
            </w:r>
            <w:r>
              <w:rPr>
                <w:rtl w:val="0"/>
              </w:rPr>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9"/>
              </w:numPr>
              <w:pBdr/>
              <w:spacing w:after="0" w:before="0" w:line="240" w:lineRule="auto"/>
              <w:ind w:hanging="360" w:left="720"/>
              <w:rPr>
                <w:u w:val="none"/>
              </w:rPr>
            </w:pPr>
            <w:r>
              <w:rPr>
                <w:rtl w:val="0"/>
              </w:rPr>
              <w:t xml:space="preserve">Mise en place avec les chargés de coopération CTG et l’animateur Solinum de temps de présentation par EPCI de “Soliguide” (dont transmission des éléments nécessaires pour remplir la fiche acteur)</w:t>
            </w:r>
            <w:r>
              <w:rPr>
                <w:u w:val="none"/>
              </w:rPr>
            </w:r>
            <w:r>
              <w:rPr>
                <w:u w:val="none"/>
              </w:rPr>
            </w:r>
          </w:p>
          <w:p>
            <w:pPr>
              <w:numPr>
                <w:ilvl w:val="0"/>
                <w:numId w:val="9"/>
              </w:numPr>
              <w:pBdr/>
              <w:spacing w:after="0" w:before="0" w:line="240" w:lineRule="auto"/>
              <w:ind w:hanging="360" w:left="720"/>
              <w:rPr>
                <w:u w:val="none"/>
              </w:rPr>
            </w:pPr>
            <w:r>
              <w:rPr>
                <w:rtl w:val="0"/>
              </w:rPr>
              <w:t xml:space="preserve">Pour chaque réunion, définir une plage par structure avec l’animateur pour le renseignement des fiches structure (sous la forme d’un doodle par ex)</w:t>
            </w:r>
            <w:r>
              <w:rPr>
                <w:u w:val="none"/>
              </w:rPr>
            </w:r>
            <w:r>
              <w:rPr>
                <w:u w:val="none"/>
              </w:rPr>
            </w:r>
          </w:p>
          <w:p>
            <w:pPr>
              <w:numPr>
                <w:ilvl w:val="0"/>
                <w:numId w:val="9"/>
              </w:numPr>
              <w:pBdr/>
              <w:spacing w:after="0" w:before="0" w:line="240" w:lineRule="auto"/>
              <w:ind w:hanging="360" w:left="720"/>
              <w:rPr>
                <w:u w:val="none"/>
              </w:rPr>
            </w:pPr>
            <w:r>
              <w:rPr>
                <w:rtl w:val="0"/>
              </w:rPr>
              <w:t xml:space="preserve">Diffusion auprès des tous les acteurs</w:t>
            </w:r>
            <w:r>
              <w:rPr>
                <w:u w:val="none"/>
              </w:rPr>
            </w:r>
            <w:r>
              <w:rPr>
                <w:u w:val="none"/>
              </w:rPr>
            </w:r>
          </w:p>
          <w:p>
            <w:pPr>
              <w:numPr>
                <w:ilvl w:val="0"/>
                <w:numId w:val="9"/>
              </w:numPr>
              <w:pBdr/>
              <w:spacing w:after="0" w:before="0" w:line="240" w:lineRule="auto"/>
              <w:ind w:hanging="360" w:left="720"/>
              <w:rPr>
                <w:u w:val="none"/>
              </w:rPr>
            </w:pPr>
            <w:r>
              <w:rPr>
                <w:rtl w:val="0"/>
              </w:rPr>
              <w:t xml:space="preserve">Mesure d’impact de l’action au 24/06/2026</w:t>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2"/>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3"/>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pBdr/>
              <w:spacing w:after="0" w:before="0" w:line="240" w:lineRule="auto"/>
              <w:ind/>
              <w:rPr/>
            </w:pPr>
            <w:r>
              <w:rPr>
                <w:sz w:val="24"/>
                <w:szCs w:val="24"/>
                <w:rtl w:val="0"/>
              </w:rPr>
              <w:t xml:space="preserve">  DÉBUT : 03/02/2025</w:t>
            </w:r>
            <w:r>
              <w:rPr>
                <w:rtl w:val="0"/>
              </w:rPr>
            </w:r>
            <w:r/>
          </w:p>
          <w:p>
            <w:pPr>
              <w:pBdr/>
              <w:spacing w:after="0" w:before="0" w:line="240" w:lineRule="auto"/>
              <w:ind/>
              <w:rPr/>
            </w:pPr>
            <w:r>
              <w:rPr>
                <w:sz w:val="24"/>
                <w:szCs w:val="24"/>
                <w:rtl w:val="0"/>
              </w:rPr>
              <w:t xml:space="preserve">         FIN : </w:t>
            </w:r>
            <w:commentRangeStart w:id="2"/>
            <w:commentRangeStart w:id="3"/>
            <w:r>
              <w:rPr>
                <w:sz w:val="24"/>
                <w:szCs w:val="24"/>
                <w:rtl w:val="0"/>
              </w:rPr>
              <w:t xml:space="preserve">24/06/2026</w:t>
            </w:r>
            <w:commentRangeEnd w:id="2"/>
            <w:commentRangeEnd w:id="3"/>
            <w:r>
              <w:commentReference w:id="2"/>
              <w:commentReference w:id="3"/>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Territoire varois dans un premier temps</w:t>
            </w:r>
            <w:r/>
          </w:p>
          <w:p>
            <w:pPr>
              <w:pBdr/>
              <w:spacing w:after="0" w:before="0" w:line="240" w:lineRule="auto"/>
              <w:ind/>
              <w:rPr/>
            </w:pPr>
            <w:r>
              <w:rPr>
                <w:rtl w:val="0"/>
              </w:rPr>
              <w:t xml:space="preserve">Uniquement le volet de l’inclusion numérique (auquel l’accès aux droits peut se greffer)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Tout professionnel acteur de l’inclusion numérique pour l’inscription</w:t>
            </w:r>
            <w:r/>
          </w:p>
          <w:p>
            <w:pPr>
              <w:pBdr/>
              <w:spacing w:after="0" w:before="0" w:line="240" w:lineRule="auto"/>
              <w:ind/>
              <w:rPr/>
            </w:pPr>
            <w:r>
              <w:rPr>
                <w:rtl w:val="0"/>
              </w:rPr>
              <w:t xml:space="preserve">Tout public professionnel s’articulant avec ces acteurs pour la diffusion de l'information</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Intégralité du maillage de l’inclusion numérique présent sur Soliguide</w:t>
            </w:r>
            <w:r/>
          </w:p>
          <w:p>
            <w:pPr>
              <w:pBdr/>
              <w:spacing w:after="0" w:before="0" w:line="240" w:lineRule="auto"/>
              <w:ind/>
              <w:rPr/>
            </w:pPr>
            <w:r>
              <w:rPr>
                <w:rtl w:val="0"/>
              </w:rPr>
              <w:t xml:space="preserve">Harmonie et qualité des fiches structures </w:t>
            </w:r>
            <w:r/>
          </w:p>
          <w:p>
            <w:pPr>
              <w:pBdr/>
              <w:spacing w:after="0" w:before="0" w:line="240" w:lineRule="auto"/>
              <w:ind/>
              <w:rPr/>
            </w:pPr>
            <w:r>
              <w:rPr>
                <w:rtl w:val="0"/>
              </w:rPr>
              <w:t xml:space="preserve">Information des acteurs autour</w:t>
            </w:r>
            <w:r/>
          </w:p>
        </w:tc>
      </w:tr>
      <w:tr>
        <w:trPr>
          <w:cantSplit w:val="false"/>
          <w:trHeight w:val="367"/>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367"/>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ind/>
              <w:rPr/>
            </w:pPr>
            <w:r>
              <w:rPr>
                <w:rtl w:val="0"/>
              </w:rPr>
              <w:t xml:space="preserve">Coordinateur des CoNum ; Service Développement social (CD83 - DASP)  ; Chargés de coopération CTG</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Selon modalité. Salle à disposition ou matériel informatique pour visio.</w:t>
            </w:r>
            <w:r/>
          </w:p>
        </w:tc>
        <w:tc>
          <w:tcPr>
            <w:shd w:val="clear" w:color="auto" w:fill="auto"/>
            <w:tcBorders/>
            <w:vAlign w:val="center"/>
            <w:textDirection w:val="lrTb"/>
            <w:noWrap w:val="false"/>
          </w:tcPr>
          <w:p>
            <w:pPr>
              <w:pBdr/>
              <w:spacing/>
              <w:ind/>
              <w:rPr/>
            </w:pPr>
            <w:r>
              <w:rPr>
                <w:rtl w:val="0"/>
              </w:rPr>
              <w:t xml:space="preserve">Financement de SOLIGUIDE (à </w:t>
            </w:r>
            <w:r>
              <w:rPr>
                <w:rtl w:val="0"/>
              </w:rPr>
              <w:t xml:space="preserve">parité</w:t>
            </w:r>
            <w:r>
              <w:rPr>
                <w:rtl w:val="0"/>
              </w:rPr>
              <w:t xml:space="preserve"> avec l’Etat) ???</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Sur Soliguide : </w:t>
            </w:r>
            <w:r/>
          </w:p>
          <w:p>
            <w:pPr>
              <w:pBdr/>
              <w:spacing w:after="0" w:before="0" w:line="240" w:lineRule="auto"/>
              <w:ind/>
              <w:rPr/>
            </w:pPr>
            <w:r>
              <w:rPr>
                <w:rtl w:val="0"/>
              </w:rPr>
              <w:t xml:space="preserve">Nombre de structures / services recensés lors de recherche sur les thématiques “Atelier Numérique”, “Technologie” ou autre</w:t>
            </w:r>
            <w:r/>
          </w:p>
          <w:p>
            <w:pPr>
              <w:pBdr/>
              <w:spacing w:after="0" w:before="0" w:line="240" w:lineRule="auto"/>
              <w:ind/>
              <w:rPr/>
            </w:pPr>
            <w:r>
              <w:rPr>
                <w:rtl w:val="0"/>
              </w:rPr>
              <w:t xml:space="preserve">Nombres de visites sur les fiches structures</w:t>
            </w:r>
            <w:r/>
          </w:p>
          <w:p>
            <w:pPr>
              <w:pBdr/>
              <w:spacing w:after="0" w:before="0" w:line="240" w:lineRule="auto"/>
              <w:ind/>
              <w:rPr/>
            </w:pPr>
            <w:r>
              <w:rPr>
                <w:rtl w:val="0"/>
              </w:rPr>
              <w:t xml:space="preserve">Sur le terrain :</w:t>
            </w:r>
            <w:r/>
          </w:p>
          <w:p>
            <w:pPr>
              <w:pBdr/>
              <w:spacing w:after="0" w:before="0" w:line="240" w:lineRule="auto"/>
              <w:ind/>
              <w:rPr/>
            </w:pPr>
            <w:r>
              <w:rPr>
                <w:rtl w:val="0"/>
              </w:rPr>
              <w:t xml:space="preserve">Retour des agents</w:t>
            </w:r>
            <w:r>
              <w:rPr>
                <w:rtl w:val="0"/>
              </w:rPr>
            </w:r>
            <w:r/>
          </w:p>
          <w:p>
            <w:pPr>
              <w:pBdr/>
              <w:spacing w:after="0" w:before="0" w:line="240" w:lineRule="auto"/>
              <w:ind/>
              <w:rPr/>
            </w:pPr>
            <w:r>
              <w:rPr>
                <w:rtl w:val="0"/>
              </w:rPr>
              <w:t xml:space="preserve">Qualité de l’orientation du public (taux de rebond par exemple)</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hyperlink r:id="rId12" w:tooltip="https://soliguide.fr/fr" w:history="1">
              <w:r>
                <w:rPr>
                  <w:color w:val="1155cc"/>
                  <w:u w:val="single"/>
                  <w:rtl w:val="0"/>
                </w:rPr>
                <w:t xml:space="preserve">https://soliguide.fr/fr</w:t>
              </w:r>
            </w:hyperlink>
            <w:r>
              <w:rPr>
                <w:rtl w:val="0"/>
              </w:rPr>
            </w:r>
            <w:r/>
          </w:p>
          <w:p>
            <w:pPr>
              <w:pBdr/>
              <w:spacing w:after="0" w:before="0" w:line="240" w:lineRule="auto"/>
              <w:ind/>
              <w:rPr/>
            </w:pPr>
            <w:r/>
            <w:hyperlink r:id="rId13" w:tooltip="https://solinum.notion.site/Comment-avoir-acc-s-l-API-Solidarit-2d7ed7df5d68435ea5ddb61f4135276e" w:history="1">
              <w:r>
                <w:rPr>
                  <w:color w:val="1155cc"/>
                  <w:u w:val="single"/>
                  <w:rtl w:val="0"/>
                </w:rPr>
                <w:t xml:space="preserve">https://solinum.notion.site/Comment-avoir-acc-s-l-API-Solidarit-2d7ed7df5d68435ea5ddb61f4135276e</w:t>
              </w:r>
            </w:hyperlink>
            <w:r>
              <w:rPr>
                <w:rtl w:val="0"/>
              </w:rPr>
            </w:r>
            <w:r/>
          </w:p>
          <w:p>
            <w:pPr>
              <w:pBdr/>
              <w:spacing w:after="0" w:before="0" w:line="240" w:lineRule="auto"/>
              <w:ind/>
              <w:rPr/>
            </w:pPr>
            <w:r/>
            <w:hyperlink r:id="rId14" w:tooltip="https://hinaura.fr/?cartographie" w:history="1">
              <w:r>
                <w:rPr>
                  <w:color w:val="1155cc"/>
                  <w:u w:val="single"/>
                  <w:rtl w:val="0"/>
                </w:rPr>
                <w:t xml:space="preserve">https://hinaura.fr/?cartographie</w:t>
              </w:r>
            </w:hyperlink>
            <w:r>
              <w:rPr>
                <w:rtl w:val="0"/>
              </w:rPr>
            </w:r>
            <w:r/>
          </w:p>
          <w:p>
            <w:pPr>
              <w:pBdr/>
              <w:spacing w:after="0" w:before="0" w:line="240" w:lineRule="auto"/>
              <w:ind/>
              <w:rPr/>
            </w:pPr>
            <w:r/>
            <w:hyperlink r:id="rId15" w:tooltip="https://resana.numerique.gouv.fr/public/information/consulterAccessUrl?cle_url=1175226696UDwIblFZWDMHO1RkBWkEIFU5UmAHJlNqAG9XMgdvWmJQZQAwBGZQZwNnVDdfZQ==" w:history="1">
              <w:r>
                <w:rPr>
                  <w:rStyle w:val="898"/>
                </w:rPr>
              </w:r>
              <w:r>
                <w:rPr>
                  <w:rStyle w:val="898"/>
                  <w:rtl w:val="0"/>
                </w:rPr>
                <w:t xml:space="preserve">Ressources de communication Soliguide</w:t>
              </w:r>
            </w:hyperlink>
            <w:r>
              <w:rPr>
                <w:rtl w:val="0"/>
              </w:rPr>
            </w:r>
            <w:r/>
          </w:p>
        </w:tc>
      </w:tr>
    </w:tbl>
    <w:p>
      <w:pPr>
        <w:pBdr/>
        <w:spacing w:after="200" w:before="0"/>
        <w:ind/>
        <w:rPr/>
      </w:pPr>
      <w:r>
        <w:rPr>
          <w:rtl w:val="0"/>
        </w:rPr>
      </w:r>
      <w:r/>
    </w:p>
    <w:sectPr>
      <w:headerReference w:type="default" r:id="rId9"/>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Luc LEANDRI" w:date="2025-09-11T15:27:05Z" w:initials="LL">
    <w:p w14:paraId="00000001" w14:textId="00000001">
      <w:pPr>
        <w:spacing w:line="240" w:after="0" w:lineRule="auto" w:before="0"/>
        <w:ind w:firstLine="0" w:left="0" w:right="0"/>
        <w:jc w:val="left"/>
      </w:pPr>
      <w:r>
        <w:rPr>
          <w:rFonts w:eastAsia="Arial" w:ascii="Arial" w:hAnsi="Arial" w:cs="Arial"/>
          <w:sz w:val="22"/>
        </w:rPr>
        <w:t xml:space="preserve">Pourquoi cette date?</w:t>
      </w:r>
    </w:p>
  </w:comment>
  <w:comment w:id="3" w:author="Valentin BOUSSET" w:date="2025-10-08T16:36:03Z" w:initials="VB">
    <w:p w14:paraId="00000002" w14:textId="00000002">
      <w:pPr>
        <w:spacing w:line="240" w:after="0" w:lineRule="auto" w:before="0"/>
        <w:ind w:firstLine="0" w:left="0" w:right="0"/>
        <w:jc w:val="left"/>
      </w:pPr>
      <w:r>
        <w:rPr>
          <w:rFonts w:eastAsia="Arial" w:ascii="Arial" w:hAnsi="Arial" w:cs="Arial"/>
          <w:sz w:val="22"/>
        </w:rPr>
        <w:t xml:space="preserve">Réponse au 24/06 : Date proposée par Laurane BISBAU ; Basée sur expérience du territoire, mais peut être revue</w:t>
      </w:r>
    </w:p>
  </w:comment>
  <w:comment w:id="0" w:author="Valentin BOUSSET" w:date="2025-09-17T08:49:44Z" w:initials="VB">
    <w:p w14:paraId="00000003" w14:textId="00000003">
      <w:pPr>
        <w:spacing w:line="240" w:after="0" w:lineRule="auto" w:before="0"/>
        <w:ind w:firstLine="0" w:left="0" w:right="0"/>
        <w:jc w:val="left"/>
      </w:pPr>
      <w:r>
        <w:rPr>
          <w:rFonts w:eastAsia="Arial" w:ascii="Arial" w:hAnsi="Arial" w:cs="Arial"/>
          <w:sz w:val="22"/>
        </w:rPr>
        <w:t xml:space="preserve">On est sur la question de la qualité de la donnée . Le seuil minimum de contrôle est celui de Soliguide, soit une mise à jour semestrielle. Cependant, on peut aussi contrôler de temps à autres pour s'assurer qu'il y ait bien cohérence entre les informations sur les RS ou flyers ou autres et ce qu'il y a sur Soliguide.</w:t>
      </w:r>
    </w:p>
  </w:comment>
  <w:comment w:id="1" w:author="Valentin BOUSSET" w:date="2025-10-08T16:36:28Z" w:initials="VB">
    <w:p w14:paraId="00000004" w14:textId="00000004">
      <w:pPr>
        <w:spacing w:line="240" w:after="0" w:lineRule="auto" w:before="0"/>
        <w:ind w:firstLine="0" w:left="0" w:right="0"/>
        <w:jc w:val="left"/>
      </w:pPr>
      <w:r>
        <w:rPr>
          <w:rFonts w:eastAsia="Arial" w:ascii="Arial" w:hAnsi="Arial" w:cs="Arial"/>
          <w:sz w:val="22"/>
        </w:rPr>
        <w:t xml:space="preserve">Réponse à interrogation Luc Leandri 17/09/2025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Ex w15:paraId="00000003" w15:done="0"/>
  <w15:commentEx w15:paraId="00000004" w15:paraIdParent="00000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E736819" w16cex:dateUtc="2025-09-11T13:27:05Z"/>
  <w16cex:commentExtensible w16cex:durableId="119782F5" w16cex:dateUtc="2025-10-08T14:36:03Z"/>
  <w16cex:commentExtensible w16cex:durableId="62366881" w16cex:dateUtc="2025-09-17T06:49:44Z"/>
  <w16cex:commentExtensible w16cex:durableId="7BE5F94B" w16cex:dateUtc="2025-10-08T14:36:28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2E736819"/>
  <w16cid:commentId w16cid:paraId="00000002" w16cid:durableId="119782F5"/>
  <w16cid:commentId w16cid:paraId="00000003" w16cid:durableId="62366881"/>
  <w16cid:commentId w16cid:paraId="00000004" w16cid:durableId="7BE5F9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Pr>
        <w:rtl w:val="0"/>
      </w:r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6">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8">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entin BOUSSET">
    <w15:presenceInfo w15:providerId="Teamlab" w15:userId="resana.numerique.gouv.A120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3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Table Grid"/>
    <w:basedOn w:val="731"/>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Table Grid Light"/>
    <w:basedOn w:val="73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Plain Table 1"/>
    <w:basedOn w:val="73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Plain Table 2"/>
    <w:basedOn w:val="73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Plain Table 3"/>
    <w:basedOn w:val="7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Plain Table 4"/>
    <w:basedOn w:val="7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Plain Table 5"/>
    <w:basedOn w:val="73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1 Light"/>
    <w:basedOn w:val="73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1 Light - Accent 1"/>
    <w:basedOn w:val="73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1 Light - Accent 2"/>
    <w:basedOn w:val="73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1 Light - Accent 3"/>
    <w:basedOn w:val="73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1 Light - Accent 4"/>
    <w:basedOn w:val="73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1 Light - Accent 5"/>
    <w:basedOn w:val="73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1 Light - Accent 6"/>
    <w:basedOn w:val="73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2"/>
    <w:basedOn w:val="73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2 - Accent 1"/>
    <w:basedOn w:val="73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2 - Accent 2"/>
    <w:basedOn w:val="73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2 - Accent 3"/>
    <w:basedOn w:val="73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2 - Accent 4"/>
    <w:basedOn w:val="73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2 - Accent 5"/>
    <w:basedOn w:val="73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2 - Accent 6"/>
    <w:basedOn w:val="73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3"/>
    <w:basedOn w:val="73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3 - Accent 1"/>
    <w:basedOn w:val="73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3 - Accent 2"/>
    <w:basedOn w:val="73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3 - Accent 3"/>
    <w:basedOn w:val="73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3 - Accent 4"/>
    <w:basedOn w:val="73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3 - Accent 5"/>
    <w:basedOn w:val="73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3 - Accent 6"/>
    <w:basedOn w:val="73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4"/>
    <w:basedOn w:val="73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4 - Accent 1"/>
    <w:basedOn w:val="73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4 - Accent 2"/>
    <w:basedOn w:val="73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4 - Accent 3"/>
    <w:basedOn w:val="73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4 - Accent 4"/>
    <w:basedOn w:val="73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4 - Accent 5"/>
    <w:basedOn w:val="73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4 - Accent 6"/>
    <w:basedOn w:val="73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5 Dark"/>
    <w:basedOn w:val="7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5 Dark- Accent 1"/>
    <w:basedOn w:val="7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5 Dark - Accent 2"/>
    <w:basedOn w:val="7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5 Dark - Accent 3"/>
    <w:basedOn w:val="7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5 Dark- Accent 4"/>
    <w:basedOn w:val="7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5 Dark - Accent 5"/>
    <w:basedOn w:val="7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5 Dark - Accent 6"/>
    <w:basedOn w:val="73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6 Colorful"/>
    <w:basedOn w:val="73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75">
    <w:name w:val="Grid Table 6 Colorful - Accent 1"/>
    <w:basedOn w:val="73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76">
    <w:name w:val="Grid Table 6 Colorful - Accent 2"/>
    <w:basedOn w:val="73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77">
    <w:name w:val="Grid Table 6 Colorful - Accent 3"/>
    <w:basedOn w:val="73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8">
    <w:name w:val="Grid Table 6 Colorful - Accent 4"/>
    <w:basedOn w:val="73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9">
    <w:name w:val="Grid Table 6 Colorful - Accent 5"/>
    <w:basedOn w:val="73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0">
    <w:name w:val="Grid Table 6 Colorful - Accent 6"/>
    <w:basedOn w:val="73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1">
    <w:name w:val="Grid Table 7 Colorful"/>
    <w:basedOn w:val="73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7 Colorful - Accent 1"/>
    <w:basedOn w:val="73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7 Colorful - Accent 2"/>
    <w:basedOn w:val="73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7 Colorful - Accent 3"/>
    <w:basedOn w:val="73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7 Colorful - Accent 4"/>
    <w:basedOn w:val="73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7 Colorful - Accent 5"/>
    <w:basedOn w:val="73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7 Colorful - Accent 6"/>
    <w:basedOn w:val="73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1 Light"/>
    <w:basedOn w:val="7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1 Light - Accent 1"/>
    <w:basedOn w:val="7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1 Light - Accent 2"/>
    <w:basedOn w:val="7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1 Light - Accent 3"/>
    <w:basedOn w:val="7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1 Light - Accent 4"/>
    <w:basedOn w:val="7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1 Light - Accent 5"/>
    <w:basedOn w:val="7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1 Light - Accent 6"/>
    <w:basedOn w:val="73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2"/>
    <w:basedOn w:val="73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2 - Accent 1"/>
    <w:basedOn w:val="73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2 - Accent 2"/>
    <w:basedOn w:val="73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2 - Accent 3"/>
    <w:basedOn w:val="73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2 - Accent 4"/>
    <w:basedOn w:val="73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2 - Accent 5"/>
    <w:basedOn w:val="73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2 - Accent 6"/>
    <w:basedOn w:val="73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3"/>
    <w:basedOn w:val="73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3 - Accent 1"/>
    <w:basedOn w:val="73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3 - Accent 2"/>
    <w:basedOn w:val="73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3 - Accent 3"/>
    <w:basedOn w:val="73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3 - Accent 4"/>
    <w:basedOn w:val="73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3 - Accent 5"/>
    <w:basedOn w:val="73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3 - Accent 6"/>
    <w:basedOn w:val="73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4"/>
    <w:basedOn w:val="73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4 - Accent 1"/>
    <w:basedOn w:val="73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 Accent 2"/>
    <w:basedOn w:val="73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4 - Accent 3"/>
    <w:basedOn w:val="73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4 - Accent 4"/>
    <w:basedOn w:val="73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4 - Accent 5"/>
    <w:basedOn w:val="73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4 - Accent 6"/>
    <w:basedOn w:val="73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5 Dark"/>
    <w:basedOn w:val="73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7">
    <w:name w:val="List Table 5 Dark - Accent 1"/>
    <w:basedOn w:val="73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8">
    <w:name w:val="List Table 5 Dark - Accent 2"/>
    <w:basedOn w:val="73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9">
    <w:name w:val="List Table 5 Dark - Accent 3"/>
    <w:basedOn w:val="73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0">
    <w:name w:val="List Table 5 Dark - Accent 4"/>
    <w:basedOn w:val="73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1">
    <w:name w:val="List Table 5 Dark - Accent 5"/>
    <w:basedOn w:val="73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2">
    <w:name w:val="List Table 5 Dark - Accent 6"/>
    <w:basedOn w:val="73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3">
    <w:name w:val="List Table 6 Colorful"/>
    <w:basedOn w:val="73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6 Colorful - Accent 1"/>
    <w:basedOn w:val="73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6 Colorful - Accent 2"/>
    <w:basedOn w:val="73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6 Colorful - Accent 3"/>
    <w:basedOn w:val="73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6 Colorful - Accent 4"/>
    <w:basedOn w:val="73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6 Colorful - Accent 5"/>
    <w:basedOn w:val="73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6 Colorful - Accent 6"/>
    <w:basedOn w:val="73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7 Colorful"/>
    <w:basedOn w:val="73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31">
    <w:name w:val="List Table 7 Colorful - Accent 1"/>
    <w:basedOn w:val="73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32">
    <w:name w:val="List Table 7 Colorful - Accent 2"/>
    <w:basedOn w:val="73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33">
    <w:name w:val="List Table 7 Colorful - Accent 3"/>
    <w:basedOn w:val="73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34">
    <w:name w:val="List Table 7 Colorful - Accent 4"/>
    <w:basedOn w:val="73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35">
    <w:name w:val="List Table 7 Colorful - Accent 5"/>
    <w:basedOn w:val="73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36">
    <w:name w:val="List Table 7 Colorful - Accent 6"/>
    <w:basedOn w:val="73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37">
    <w:name w:val="Lined - Accent"/>
    <w:basedOn w:val="7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ned - Accent 1"/>
    <w:basedOn w:val="7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ned - Accent 2"/>
    <w:basedOn w:val="7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ned - Accent 3"/>
    <w:basedOn w:val="7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ned - Accent 4"/>
    <w:basedOn w:val="7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ned - Accent 5"/>
    <w:basedOn w:val="7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ned - Accent 6"/>
    <w:basedOn w:val="73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amp; Lined - Accent"/>
    <w:basedOn w:val="73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amp; Lined - Accent 1"/>
    <w:basedOn w:val="73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amp; Lined - Accent 2"/>
    <w:basedOn w:val="73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amp; Lined - Accent 3"/>
    <w:basedOn w:val="73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amp; Lined - Accent 4"/>
    <w:basedOn w:val="73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amp; Lined - Accent 5"/>
    <w:basedOn w:val="73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amp; Lined - Accent 6"/>
    <w:basedOn w:val="73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w:basedOn w:val="73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 Accent 1"/>
    <w:basedOn w:val="73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 Accent 2"/>
    <w:basedOn w:val="73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 Accent 3"/>
    <w:basedOn w:val="73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Bordered - Accent 4"/>
    <w:basedOn w:val="73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Bordered - Accent 5"/>
    <w:basedOn w:val="73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Bordered - Accent 6"/>
    <w:basedOn w:val="73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8">
    <w:name w:val="Heading 7"/>
    <w:basedOn w:val="912"/>
    <w:next w:val="912"/>
    <w:link w:val="869"/>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9">
    <w:name w:val="Heading 8"/>
    <w:basedOn w:val="912"/>
    <w:next w:val="912"/>
    <w:link w:val="870"/>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60">
    <w:name w:val="Heading 9"/>
    <w:basedOn w:val="912"/>
    <w:next w:val="912"/>
    <w:link w:val="871"/>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61" w:default="1">
    <w:name w:val="Default Paragraph Font"/>
    <w:uiPriority w:val="1"/>
    <w:semiHidden/>
    <w:unhideWhenUsed/>
    <w:pPr>
      <w:pBdr/>
      <w:spacing/>
      <w:ind/>
    </w:pPr>
  </w:style>
  <w:style w:type="numbering" w:styleId="862" w:default="1">
    <w:name w:val="No List"/>
    <w:uiPriority w:val="99"/>
    <w:semiHidden/>
    <w:unhideWhenUsed/>
    <w:pPr>
      <w:pBdr/>
      <w:spacing/>
      <w:ind/>
    </w:pPr>
  </w:style>
  <w:style w:type="character" w:styleId="863">
    <w:name w:val="Heading 1 Char"/>
    <w:basedOn w:val="861"/>
    <w:link w:val="913"/>
    <w:uiPriority w:val="9"/>
    <w:pPr>
      <w:pBdr/>
      <w:spacing/>
      <w:ind/>
    </w:pPr>
    <w:rPr>
      <w:rFonts w:ascii="Arial" w:hAnsi="Arial" w:eastAsia="Arial" w:cs="Arial"/>
      <w:color w:val="0f4761" w:themeColor="accent1" w:themeShade="BF"/>
      <w:sz w:val="40"/>
      <w:szCs w:val="40"/>
    </w:rPr>
  </w:style>
  <w:style w:type="character" w:styleId="864">
    <w:name w:val="Heading 2 Char"/>
    <w:basedOn w:val="861"/>
    <w:link w:val="914"/>
    <w:uiPriority w:val="9"/>
    <w:pPr>
      <w:pBdr/>
      <w:spacing/>
      <w:ind/>
    </w:pPr>
    <w:rPr>
      <w:rFonts w:ascii="Arial" w:hAnsi="Arial" w:eastAsia="Arial" w:cs="Arial"/>
      <w:color w:val="0f4761" w:themeColor="accent1" w:themeShade="BF"/>
      <w:sz w:val="32"/>
      <w:szCs w:val="32"/>
    </w:rPr>
  </w:style>
  <w:style w:type="character" w:styleId="865">
    <w:name w:val="Heading 3 Char"/>
    <w:basedOn w:val="861"/>
    <w:link w:val="915"/>
    <w:uiPriority w:val="9"/>
    <w:pPr>
      <w:pBdr/>
      <w:spacing/>
      <w:ind/>
    </w:pPr>
    <w:rPr>
      <w:rFonts w:ascii="Arial" w:hAnsi="Arial" w:eastAsia="Arial" w:cs="Arial"/>
      <w:color w:val="0f4761" w:themeColor="accent1" w:themeShade="BF"/>
      <w:sz w:val="28"/>
      <w:szCs w:val="28"/>
    </w:rPr>
  </w:style>
  <w:style w:type="character" w:styleId="866">
    <w:name w:val="Heading 4 Char"/>
    <w:basedOn w:val="861"/>
    <w:link w:val="916"/>
    <w:uiPriority w:val="9"/>
    <w:pPr>
      <w:pBdr/>
      <w:spacing/>
      <w:ind/>
    </w:pPr>
    <w:rPr>
      <w:rFonts w:ascii="Arial" w:hAnsi="Arial" w:eastAsia="Arial" w:cs="Arial"/>
      <w:i/>
      <w:iCs/>
      <w:color w:val="0f4761" w:themeColor="accent1" w:themeShade="BF"/>
    </w:rPr>
  </w:style>
  <w:style w:type="character" w:styleId="867">
    <w:name w:val="Heading 5 Char"/>
    <w:basedOn w:val="861"/>
    <w:link w:val="917"/>
    <w:uiPriority w:val="9"/>
    <w:pPr>
      <w:pBdr/>
      <w:spacing/>
      <w:ind/>
    </w:pPr>
    <w:rPr>
      <w:rFonts w:ascii="Arial" w:hAnsi="Arial" w:eastAsia="Arial" w:cs="Arial"/>
      <w:color w:val="0f4761" w:themeColor="accent1" w:themeShade="BF"/>
    </w:rPr>
  </w:style>
  <w:style w:type="character" w:styleId="868">
    <w:name w:val="Heading 6 Char"/>
    <w:basedOn w:val="861"/>
    <w:link w:val="918"/>
    <w:uiPriority w:val="9"/>
    <w:pPr>
      <w:pBdr/>
      <w:spacing/>
      <w:ind/>
    </w:pPr>
    <w:rPr>
      <w:rFonts w:ascii="Arial" w:hAnsi="Arial" w:eastAsia="Arial" w:cs="Arial"/>
      <w:i/>
      <w:iCs/>
      <w:color w:val="595959" w:themeColor="text1" w:themeTint="A6"/>
    </w:rPr>
  </w:style>
  <w:style w:type="character" w:styleId="869">
    <w:name w:val="Heading 7 Char"/>
    <w:basedOn w:val="861"/>
    <w:link w:val="858"/>
    <w:uiPriority w:val="9"/>
    <w:pPr>
      <w:pBdr/>
      <w:spacing/>
      <w:ind/>
    </w:pPr>
    <w:rPr>
      <w:rFonts w:ascii="Arial" w:hAnsi="Arial" w:eastAsia="Arial" w:cs="Arial"/>
      <w:color w:val="595959" w:themeColor="text1" w:themeTint="A6"/>
    </w:rPr>
  </w:style>
  <w:style w:type="character" w:styleId="870">
    <w:name w:val="Heading 8 Char"/>
    <w:basedOn w:val="861"/>
    <w:link w:val="859"/>
    <w:uiPriority w:val="9"/>
    <w:pPr>
      <w:pBdr/>
      <w:spacing/>
      <w:ind/>
    </w:pPr>
    <w:rPr>
      <w:rFonts w:ascii="Arial" w:hAnsi="Arial" w:eastAsia="Arial" w:cs="Arial"/>
      <w:i/>
      <w:iCs/>
      <w:color w:val="272727" w:themeColor="text1" w:themeTint="D8"/>
    </w:rPr>
  </w:style>
  <w:style w:type="character" w:styleId="871">
    <w:name w:val="Heading 9 Char"/>
    <w:basedOn w:val="861"/>
    <w:link w:val="860"/>
    <w:uiPriority w:val="9"/>
    <w:pPr>
      <w:pBdr/>
      <w:spacing/>
      <w:ind/>
    </w:pPr>
    <w:rPr>
      <w:rFonts w:ascii="Arial" w:hAnsi="Arial" w:eastAsia="Arial" w:cs="Arial"/>
      <w:i/>
      <w:iCs/>
      <w:color w:val="272727" w:themeColor="text1" w:themeTint="D8"/>
    </w:rPr>
  </w:style>
  <w:style w:type="character" w:styleId="872">
    <w:name w:val="Title Char"/>
    <w:basedOn w:val="861"/>
    <w:link w:val="919"/>
    <w:uiPriority w:val="10"/>
    <w:pPr>
      <w:pBdr/>
      <w:spacing/>
      <w:ind/>
    </w:pPr>
    <w:rPr>
      <w:rFonts w:ascii="Arial" w:hAnsi="Arial" w:eastAsia="Arial" w:cs="Arial"/>
      <w:spacing w:val="-10"/>
      <w:sz w:val="56"/>
      <w:szCs w:val="56"/>
    </w:rPr>
  </w:style>
  <w:style w:type="character" w:styleId="873">
    <w:name w:val="Subtitle Char"/>
    <w:basedOn w:val="861"/>
    <w:link w:val="920"/>
    <w:uiPriority w:val="11"/>
    <w:pPr>
      <w:pBdr/>
      <w:spacing/>
      <w:ind/>
    </w:pPr>
    <w:rPr>
      <w:color w:val="595959" w:themeColor="text1" w:themeTint="A6"/>
      <w:spacing w:val="15"/>
      <w:sz w:val="28"/>
      <w:szCs w:val="28"/>
    </w:rPr>
  </w:style>
  <w:style w:type="paragraph" w:styleId="874">
    <w:name w:val="Quote"/>
    <w:basedOn w:val="912"/>
    <w:next w:val="912"/>
    <w:link w:val="875"/>
    <w:uiPriority w:val="29"/>
    <w:qFormat/>
    <w:pPr>
      <w:pBdr/>
      <w:spacing w:before="160"/>
      <w:ind/>
      <w:jc w:val="center"/>
    </w:pPr>
    <w:rPr>
      <w:i/>
      <w:iCs/>
      <w:color w:val="404040" w:themeColor="text1" w:themeTint="BF"/>
    </w:rPr>
  </w:style>
  <w:style w:type="character" w:styleId="875">
    <w:name w:val="Quote Char"/>
    <w:basedOn w:val="861"/>
    <w:link w:val="874"/>
    <w:uiPriority w:val="29"/>
    <w:pPr>
      <w:pBdr/>
      <w:spacing/>
      <w:ind/>
    </w:pPr>
    <w:rPr>
      <w:i/>
      <w:iCs/>
      <w:color w:val="404040" w:themeColor="text1" w:themeTint="BF"/>
    </w:rPr>
  </w:style>
  <w:style w:type="paragraph" w:styleId="876">
    <w:name w:val="List Paragraph"/>
    <w:basedOn w:val="912"/>
    <w:uiPriority w:val="34"/>
    <w:qFormat/>
    <w:pPr>
      <w:pBdr/>
      <w:spacing/>
      <w:ind w:left="720"/>
      <w:contextualSpacing w:val="true"/>
    </w:pPr>
  </w:style>
  <w:style w:type="character" w:styleId="877">
    <w:name w:val="Intense Emphasis"/>
    <w:basedOn w:val="861"/>
    <w:uiPriority w:val="21"/>
    <w:qFormat/>
    <w:pPr>
      <w:pBdr/>
      <w:spacing/>
      <w:ind/>
    </w:pPr>
    <w:rPr>
      <w:i/>
      <w:iCs/>
      <w:color w:val="0f4761" w:themeColor="accent1" w:themeShade="BF"/>
    </w:rPr>
  </w:style>
  <w:style w:type="paragraph" w:styleId="878">
    <w:name w:val="Intense Quote"/>
    <w:basedOn w:val="912"/>
    <w:next w:val="912"/>
    <w:link w:val="879"/>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9">
    <w:name w:val="Intense Quote Char"/>
    <w:basedOn w:val="861"/>
    <w:link w:val="878"/>
    <w:uiPriority w:val="30"/>
    <w:pPr>
      <w:pBdr/>
      <w:spacing/>
      <w:ind/>
    </w:pPr>
    <w:rPr>
      <w:i/>
      <w:iCs/>
      <w:color w:val="0f4761" w:themeColor="accent1" w:themeShade="BF"/>
    </w:rPr>
  </w:style>
  <w:style w:type="character" w:styleId="880">
    <w:name w:val="Intense Reference"/>
    <w:basedOn w:val="861"/>
    <w:uiPriority w:val="32"/>
    <w:qFormat/>
    <w:pPr>
      <w:pBdr/>
      <w:spacing/>
      <w:ind/>
    </w:pPr>
    <w:rPr>
      <w:b/>
      <w:bCs/>
      <w:smallCaps/>
      <w:color w:val="0f4761" w:themeColor="accent1" w:themeShade="BF"/>
      <w:spacing w:val="5"/>
    </w:rPr>
  </w:style>
  <w:style w:type="paragraph" w:styleId="881">
    <w:name w:val="No Spacing"/>
    <w:basedOn w:val="912"/>
    <w:uiPriority w:val="1"/>
    <w:qFormat/>
    <w:pPr>
      <w:pBdr/>
      <w:spacing w:after="0" w:line="240" w:lineRule="auto"/>
      <w:ind/>
    </w:pPr>
  </w:style>
  <w:style w:type="character" w:styleId="882">
    <w:name w:val="Subtle Emphasis"/>
    <w:basedOn w:val="861"/>
    <w:uiPriority w:val="19"/>
    <w:qFormat/>
    <w:pPr>
      <w:pBdr/>
      <w:spacing/>
      <w:ind/>
    </w:pPr>
    <w:rPr>
      <w:i/>
      <w:iCs/>
      <w:color w:val="404040" w:themeColor="text1" w:themeTint="BF"/>
    </w:rPr>
  </w:style>
  <w:style w:type="character" w:styleId="883">
    <w:name w:val="Emphasis"/>
    <w:basedOn w:val="861"/>
    <w:uiPriority w:val="20"/>
    <w:qFormat/>
    <w:pPr>
      <w:pBdr/>
      <w:spacing/>
      <w:ind/>
    </w:pPr>
    <w:rPr>
      <w:i/>
      <w:iCs/>
    </w:rPr>
  </w:style>
  <w:style w:type="character" w:styleId="884">
    <w:name w:val="Strong"/>
    <w:basedOn w:val="861"/>
    <w:uiPriority w:val="22"/>
    <w:qFormat/>
    <w:pPr>
      <w:pBdr/>
      <w:spacing/>
      <w:ind/>
    </w:pPr>
    <w:rPr>
      <w:b/>
      <w:bCs/>
    </w:rPr>
  </w:style>
  <w:style w:type="character" w:styleId="885">
    <w:name w:val="Subtle Reference"/>
    <w:basedOn w:val="861"/>
    <w:uiPriority w:val="31"/>
    <w:qFormat/>
    <w:pPr>
      <w:pBdr/>
      <w:spacing/>
      <w:ind/>
    </w:pPr>
    <w:rPr>
      <w:smallCaps/>
      <w:color w:val="5a5a5a" w:themeColor="text1" w:themeTint="A5"/>
    </w:rPr>
  </w:style>
  <w:style w:type="character" w:styleId="886">
    <w:name w:val="Book Title"/>
    <w:basedOn w:val="861"/>
    <w:uiPriority w:val="33"/>
    <w:qFormat/>
    <w:pPr>
      <w:pBdr/>
      <w:spacing/>
      <w:ind/>
    </w:pPr>
    <w:rPr>
      <w:b/>
      <w:bCs/>
      <w:i/>
      <w:iCs/>
      <w:spacing w:val="5"/>
    </w:rPr>
  </w:style>
  <w:style w:type="paragraph" w:styleId="887">
    <w:name w:val="Header"/>
    <w:basedOn w:val="912"/>
    <w:link w:val="888"/>
    <w:uiPriority w:val="99"/>
    <w:unhideWhenUsed/>
    <w:pPr>
      <w:pBdr/>
      <w:tabs>
        <w:tab w:val="center" w:leader="none" w:pos="4844"/>
        <w:tab w:val="right" w:leader="none" w:pos="9689"/>
      </w:tabs>
      <w:spacing w:after="0" w:line="240" w:lineRule="auto"/>
      <w:ind/>
    </w:pPr>
  </w:style>
  <w:style w:type="character" w:styleId="888">
    <w:name w:val="Header Char"/>
    <w:basedOn w:val="861"/>
    <w:link w:val="887"/>
    <w:uiPriority w:val="99"/>
    <w:pPr>
      <w:pBdr/>
      <w:spacing/>
      <w:ind/>
    </w:pPr>
  </w:style>
  <w:style w:type="paragraph" w:styleId="889">
    <w:name w:val="Footer"/>
    <w:basedOn w:val="912"/>
    <w:link w:val="890"/>
    <w:uiPriority w:val="99"/>
    <w:unhideWhenUsed/>
    <w:pPr>
      <w:pBdr/>
      <w:tabs>
        <w:tab w:val="center" w:leader="none" w:pos="4844"/>
        <w:tab w:val="right" w:leader="none" w:pos="9689"/>
      </w:tabs>
      <w:spacing w:after="0" w:line="240" w:lineRule="auto"/>
      <w:ind/>
    </w:pPr>
  </w:style>
  <w:style w:type="character" w:styleId="890">
    <w:name w:val="Footer Char"/>
    <w:basedOn w:val="861"/>
    <w:link w:val="889"/>
    <w:uiPriority w:val="99"/>
    <w:pPr>
      <w:pBdr/>
      <w:spacing/>
      <w:ind/>
    </w:pPr>
  </w:style>
  <w:style w:type="paragraph" w:styleId="891">
    <w:name w:val="Caption"/>
    <w:basedOn w:val="912"/>
    <w:next w:val="912"/>
    <w:uiPriority w:val="35"/>
    <w:unhideWhenUsed/>
    <w:qFormat/>
    <w:pPr>
      <w:pBdr/>
      <w:spacing w:after="200" w:line="240" w:lineRule="auto"/>
      <w:ind/>
    </w:pPr>
    <w:rPr>
      <w:i/>
      <w:iCs/>
      <w:color w:val="0e2841" w:themeColor="text2"/>
      <w:sz w:val="18"/>
      <w:szCs w:val="18"/>
    </w:rPr>
  </w:style>
  <w:style w:type="paragraph" w:styleId="892">
    <w:name w:val="footnote text"/>
    <w:basedOn w:val="912"/>
    <w:link w:val="893"/>
    <w:uiPriority w:val="99"/>
    <w:semiHidden/>
    <w:unhideWhenUsed/>
    <w:pPr>
      <w:pBdr/>
      <w:spacing w:after="0" w:line="240" w:lineRule="auto"/>
      <w:ind/>
    </w:pPr>
    <w:rPr>
      <w:sz w:val="20"/>
      <w:szCs w:val="20"/>
    </w:rPr>
  </w:style>
  <w:style w:type="character" w:styleId="893">
    <w:name w:val="Footnote Text Char"/>
    <w:basedOn w:val="861"/>
    <w:link w:val="892"/>
    <w:uiPriority w:val="99"/>
    <w:semiHidden/>
    <w:pPr>
      <w:pBdr/>
      <w:spacing/>
      <w:ind/>
    </w:pPr>
    <w:rPr>
      <w:sz w:val="20"/>
      <w:szCs w:val="20"/>
    </w:rPr>
  </w:style>
  <w:style w:type="character" w:styleId="894">
    <w:name w:val="footnote reference"/>
    <w:basedOn w:val="861"/>
    <w:uiPriority w:val="99"/>
    <w:semiHidden/>
    <w:unhideWhenUsed/>
    <w:pPr>
      <w:pBdr/>
      <w:spacing/>
      <w:ind/>
    </w:pPr>
    <w:rPr>
      <w:vertAlign w:val="superscript"/>
    </w:rPr>
  </w:style>
  <w:style w:type="paragraph" w:styleId="895">
    <w:name w:val="endnote text"/>
    <w:basedOn w:val="912"/>
    <w:link w:val="896"/>
    <w:uiPriority w:val="99"/>
    <w:semiHidden/>
    <w:unhideWhenUsed/>
    <w:pPr>
      <w:pBdr/>
      <w:spacing w:after="0" w:line="240" w:lineRule="auto"/>
      <w:ind/>
    </w:pPr>
    <w:rPr>
      <w:sz w:val="20"/>
      <w:szCs w:val="20"/>
    </w:rPr>
  </w:style>
  <w:style w:type="character" w:styleId="896">
    <w:name w:val="Endnote Text Char"/>
    <w:basedOn w:val="861"/>
    <w:link w:val="895"/>
    <w:uiPriority w:val="99"/>
    <w:semiHidden/>
    <w:pPr>
      <w:pBdr/>
      <w:spacing/>
      <w:ind/>
    </w:pPr>
    <w:rPr>
      <w:sz w:val="20"/>
      <w:szCs w:val="20"/>
    </w:rPr>
  </w:style>
  <w:style w:type="character" w:styleId="897">
    <w:name w:val="endnote reference"/>
    <w:basedOn w:val="861"/>
    <w:uiPriority w:val="99"/>
    <w:semiHidden/>
    <w:unhideWhenUsed/>
    <w:pPr>
      <w:pBdr/>
      <w:spacing/>
      <w:ind/>
    </w:pPr>
    <w:rPr>
      <w:vertAlign w:val="superscript"/>
    </w:rPr>
  </w:style>
  <w:style w:type="character" w:styleId="898">
    <w:name w:val="Hyperlink"/>
    <w:basedOn w:val="861"/>
    <w:uiPriority w:val="99"/>
    <w:unhideWhenUsed/>
    <w:pPr>
      <w:pBdr/>
      <w:spacing/>
      <w:ind/>
    </w:pPr>
    <w:rPr>
      <w:color w:val="0563c1" w:themeColor="hyperlink"/>
      <w:u w:val="single"/>
    </w:rPr>
  </w:style>
  <w:style w:type="character" w:styleId="899">
    <w:name w:val="FollowedHyperlink"/>
    <w:basedOn w:val="861"/>
    <w:uiPriority w:val="99"/>
    <w:semiHidden/>
    <w:unhideWhenUsed/>
    <w:pPr>
      <w:pBdr/>
      <w:spacing/>
      <w:ind/>
    </w:pPr>
    <w:rPr>
      <w:color w:val="954f72" w:themeColor="followedHyperlink"/>
      <w:u w:val="single"/>
    </w:rPr>
  </w:style>
  <w:style w:type="paragraph" w:styleId="900">
    <w:name w:val="toc 1"/>
    <w:basedOn w:val="912"/>
    <w:next w:val="912"/>
    <w:uiPriority w:val="39"/>
    <w:unhideWhenUsed/>
    <w:pPr>
      <w:pBdr/>
      <w:spacing w:after="100"/>
      <w:ind/>
    </w:pPr>
  </w:style>
  <w:style w:type="paragraph" w:styleId="901">
    <w:name w:val="toc 2"/>
    <w:basedOn w:val="912"/>
    <w:next w:val="912"/>
    <w:uiPriority w:val="39"/>
    <w:unhideWhenUsed/>
    <w:pPr>
      <w:pBdr/>
      <w:spacing w:after="100"/>
      <w:ind w:left="220"/>
    </w:pPr>
  </w:style>
  <w:style w:type="paragraph" w:styleId="902">
    <w:name w:val="toc 3"/>
    <w:basedOn w:val="912"/>
    <w:next w:val="912"/>
    <w:uiPriority w:val="39"/>
    <w:unhideWhenUsed/>
    <w:pPr>
      <w:pBdr/>
      <w:spacing w:after="100"/>
      <w:ind w:left="440"/>
    </w:pPr>
  </w:style>
  <w:style w:type="paragraph" w:styleId="903">
    <w:name w:val="toc 4"/>
    <w:basedOn w:val="912"/>
    <w:next w:val="912"/>
    <w:uiPriority w:val="39"/>
    <w:unhideWhenUsed/>
    <w:pPr>
      <w:pBdr/>
      <w:spacing w:after="100"/>
      <w:ind w:left="660"/>
    </w:pPr>
  </w:style>
  <w:style w:type="paragraph" w:styleId="904">
    <w:name w:val="toc 5"/>
    <w:basedOn w:val="912"/>
    <w:next w:val="912"/>
    <w:uiPriority w:val="39"/>
    <w:unhideWhenUsed/>
    <w:pPr>
      <w:pBdr/>
      <w:spacing w:after="100"/>
      <w:ind w:left="880"/>
    </w:pPr>
  </w:style>
  <w:style w:type="paragraph" w:styleId="905">
    <w:name w:val="toc 6"/>
    <w:basedOn w:val="912"/>
    <w:next w:val="912"/>
    <w:uiPriority w:val="39"/>
    <w:unhideWhenUsed/>
    <w:pPr>
      <w:pBdr/>
      <w:spacing w:after="100"/>
      <w:ind w:left="1100"/>
    </w:pPr>
  </w:style>
  <w:style w:type="paragraph" w:styleId="906">
    <w:name w:val="toc 7"/>
    <w:basedOn w:val="912"/>
    <w:next w:val="912"/>
    <w:uiPriority w:val="39"/>
    <w:unhideWhenUsed/>
    <w:pPr>
      <w:pBdr/>
      <w:spacing w:after="100"/>
      <w:ind w:left="1320"/>
    </w:pPr>
  </w:style>
  <w:style w:type="paragraph" w:styleId="907">
    <w:name w:val="toc 8"/>
    <w:basedOn w:val="912"/>
    <w:next w:val="912"/>
    <w:uiPriority w:val="39"/>
    <w:unhideWhenUsed/>
    <w:pPr>
      <w:pBdr/>
      <w:spacing w:after="100"/>
      <w:ind w:left="1540"/>
    </w:pPr>
  </w:style>
  <w:style w:type="paragraph" w:styleId="908">
    <w:name w:val="toc 9"/>
    <w:basedOn w:val="912"/>
    <w:next w:val="912"/>
    <w:uiPriority w:val="39"/>
    <w:unhideWhenUsed/>
    <w:pPr>
      <w:pBdr/>
      <w:spacing w:after="100"/>
      <w:ind w:left="1760"/>
    </w:pPr>
  </w:style>
  <w:style w:type="paragraph" w:styleId="909">
    <w:name w:val="TOC Heading"/>
    <w:uiPriority w:val="39"/>
    <w:unhideWhenUsed/>
    <w:pPr>
      <w:pBdr/>
      <w:spacing/>
      <w:ind/>
    </w:pPr>
  </w:style>
  <w:style w:type="paragraph" w:styleId="910">
    <w:name w:val="table of figures"/>
    <w:basedOn w:val="912"/>
    <w:next w:val="912"/>
    <w:uiPriority w:val="99"/>
    <w:unhideWhenUsed/>
    <w:pPr>
      <w:pBdr/>
      <w:spacing w:after="0" w:afterAutospacing="0"/>
      <w:ind/>
    </w:pPr>
  </w:style>
  <w:style w:type="table" w:styleId="911">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12" w:default="1">
    <w:name w:val="Normal"/>
    <w:pPr>
      <w:pBdr/>
      <w:spacing/>
      <w:ind/>
    </w:pPr>
  </w:style>
  <w:style w:type="paragraph" w:styleId="913">
    <w:name w:val="Heading 1"/>
    <w:basedOn w:val="912"/>
    <w:next w:val="912"/>
    <w:pPr>
      <w:keepNext w:val="true"/>
      <w:keepLines w:val="true"/>
      <w:pageBreakBefore w:val="false"/>
      <w:pBdr/>
      <w:spacing w:after="120" w:before="480"/>
      <w:ind/>
    </w:pPr>
    <w:rPr>
      <w:b/>
      <w:sz w:val="48"/>
      <w:szCs w:val="48"/>
    </w:rPr>
  </w:style>
  <w:style w:type="paragraph" w:styleId="914">
    <w:name w:val="Heading 2"/>
    <w:basedOn w:val="912"/>
    <w:next w:val="912"/>
    <w:pPr>
      <w:keepNext w:val="true"/>
      <w:keepLines w:val="true"/>
      <w:pageBreakBefore w:val="false"/>
      <w:pBdr/>
      <w:spacing w:after="80" w:before="360"/>
      <w:ind/>
    </w:pPr>
    <w:rPr>
      <w:b/>
      <w:sz w:val="36"/>
      <w:szCs w:val="36"/>
    </w:rPr>
  </w:style>
  <w:style w:type="paragraph" w:styleId="915">
    <w:name w:val="Heading 3"/>
    <w:basedOn w:val="912"/>
    <w:next w:val="912"/>
    <w:pPr>
      <w:keepNext w:val="true"/>
      <w:keepLines w:val="true"/>
      <w:pageBreakBefore w:val="false"/>
      <w:pBdr/>
      <w:spacing w:after="80" w:before="280"/>
      <w:ind/>
    </w:pPr>
    <w:rPr>
      <w:b/>
      <w:sz w:val="28"/>
      <w:szCs w:val="28"/>
    </w:rPr>
  </w:style>
  <w:style w:type="paragraph" w:styleId="916">
    <w:name w:val="Heading 4"/>
    <w:basedOn w:val="912"/>
    <w:next w:val="912"/>
    <w:pPr>
      <w:keepNext w:val="true"/>
      <w:keepLines w:val="true"/>
      <w:pageBreakBefore w:val="false"/>
      <w:pBdr/>
      <w:spacing w:after="40" w:before="240"/>
      <w:ind/>
    </w:pPr>
    <w:rPr>
      <w:b/>
      <w:sz w:val="24"/>
      <w:szCs w:val="24"/>
    </w:rPr>
  </w:style>
  <w:style w:type="paragraph" w:styleId="917">
    <w:name w:val="Heading 5"/>
    <w:basedOn w:val="912"/>
    <w:next w:val="912"/>
    <w:pPr>
      <w:keepNext w:val="true"/>
      <w:keepLines w:val="true"/>
      <w:pageBreakBefore w:val="false"/>
      <w:pBdr/>
      <w:spacing w:after="40" w:before="220"/>
      <w:ind/>
    </w:pPr>
    <w:rPr>
      <w:b/>
      <w:sz w:val="22"/>
      <w:szCs w:val="22"/>
    </w:rPr>
  </w:style>
  <w:style w:type="paragraph" w:styleId="918">
    <w:name w:val="Heading 6"/>
    <w:basedOn w:val="912"/>
    <w:next w:val="912"/>
    <w:pPr>
      <w:keepNext w:val="true"/>
      <w:keepLines w:val="true"/>
      <w:pageBreakBefore w:val="false"/>
      <w:pBdr/>
      <w:spacing w:after="40" w:before="200"/>
      <w:ind/>
    </w:pPr>
    <w:rPr>
      <w:b/>
      <w:sz w:val="20"/>
      <w:szCs w:val="20"/>
    </w:rPr>
  </w:style>
  <w:style w:type="paragraph" w:styleId="919">
    <w:name w:val="Title"/>
    <w:basedOn w:val="912"/>
    <w:next w:val="912"/>
    <w:pPr>
      <w:keepNext w:val="true"/>
      <w:keepLines w:val="true"/>
      <w:pageBreakBefore w:val="false"/>
      <w:pBdr/>
      <w:spacing w:after="120" w:before="480"/>
      <w:ind/>
    </w:pPr>
    <w:rPr>
      <w:b/>
      <w:sz w:val="72"/>
      <w:szCs w:val="72"/>
    </w:rPr>
  </w:style>
  <w:style w:type="paragraph" w:styleId="920">
    <w:name w:val="Subtitle"/>
    <w:basedOn w:val="912"/>
    <w:next w:val="912"/>
    <w:pPr>
      <w:keepNext w:val="true"/>
      <w:keepLines w:val="true"/>
      <w:pageBreakBefore w:val="false"/>
      <w:pBdr/>
      <w:spacing w:after="80" w:before="360"/>
      <w:ind/>
    </w:pPr>
    <w:rPr>
      <w:rFonts w:ascii="Georgia" w:hAnsi="Georgia" w:eastAsia="Georgia" w:cs="Georgia"/>
      <w:i/>
      <w:color w:val="666666"/>
      <w:sz w:val="48"/>
      <w:szCs w:val="48"/>
    </w:rPr>
  </w:style>
  <w:style w:type="table" w:styleId="921">
    <w:name w:val="StGen0"/>
    <w:basedOn w:val="911"/>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jpg"/><Relationship Id="rId11" Type="http://schemas.openxmlformats.org/officeDocument/2006/relationships/image" Target="media/image2.jpg"/><Relationship Id="rId12" Type="http://schemas.openxmlformats.org/officeDocument/2006/relationships/hyperlink" Target="https://soliguide.fr/fr" TargetMode="External"/><Relationship Id="rId13" Type="http://schemas.openxmlformats.org/officeDocument/2006/relationships/hyperlink" Target="https://solinum.notion.site/Comment-avoir-acc-s-l-API-Solidarit-2d7ed7df5d68435ea5ddb61f4135276e" TargetMode="External"/><Relationship Id="rId14" Type="http://schemas.openxmlformats.org/officeDocument/2006/relationships/hyperlink" Target="https://hinaura.fr/?cartographie" TargetMode="External"/><Relationship Id="rId15" Type="http://schemas.openxmlformats.org/officeDocument/2006/relationships/hyperlink" Target="https://resana.numerique.gouv.fr/public/information/consulterAccessUrl?cle_url=1175226696UDwIblFZWDMHO1RkBWkEIFU5UmAHJlNqAG9XMgdvWmJQZQAwBGZQZwNnVDdfZQ==" TargetMode="External"/><Relationship Id="rId16" Type="http://schemas.openxmlformats.org/officeDocument/2006/relationships/comments" Target="comments.xml" /><Relationship Id="rId17" Type="http://schemas.microsoft.com/office/2011/relationships/commentsExtended" Target="commentsExtended.xml" /><Relationship Id="rId18" Type="http://schemas.microsoft.com/office/2018/08/relationships/commentsExtensible" Target="commentsExtensible.xml" /><Relationship Id="rId19" Type="http://schemas.microsoft.com/office/2016/09/relationships/commentsIds" Target="commentsIds.xml" /><Relationship Id="rId20" Type="http://schemas.microsoft.com/office/2011/relationships/people" Target="people.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Jean-Pierre SEVAL</cp:lastModifiedBy>
  <cp:revision>5</cp:revision>
  <dcterms:modified xsi:type="dcterms:W3CDTF">2025-10-10T15:10:42Z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